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590" w:rsidRDefault="00AF35D4" w:rsidP="00F55590">
      <w:pPr>
        <w:jc w:val="center"/>
        <w:rPr>
          <w:rFonts w:ascii="Arial" w:hAnsi="Arial" w:cs="Arial"/>
          <w:b/>
          <w:sz w:val="28"/>
          <w:szCs w:val="28"/>
          <w:lang w:eastAsia="ko-KR"/>
        </w:rPr>
      </w:pPr>
      <w:r>
        <w:rPr>
          <w:rFonts w:ascii="Arial" w:hAnsi="Arial" w:cs="Arial"/>
          <w:b/>
          <w:noProof/>
          <w:sz w:val="28"/>
          <w:szCs w:val="28"/>
          <w:lang w:val="tr-TR" w:eastAsia="tr-TR"/>
        </w:rPr>
        <w:drawing>
          <wp:anchor distT="0" distB="0" distL="114300" distR="114300" simplePos="0" relativeHeight="251661312" behindDoc="0" locked="0" layoutInCell="1" allowOverlap="1">
            <wp:simplePos x="0" y="0"/>
            <wp:positionH relativeFrom="column">
              <wp:posOffset>5405120</wp:posOffset>
            </wp:positionH>
            <wp:positionV relativeFrom="paragraph">
              <wp:posOffset>-176530</wp:posOffset>
            </wp:positionV>
            <wp:extent cx="704850" cy="923925"/>
            <wp:effectExtent l="19050" t="0" r="0" b="0"/>
            <wp:wrapSquare wrapText="bothSides"/>
            <wp:docPr id="2" name="Picture 1" descr="\\umedosya\G3-KIMYA\INORGANIKKIMYA\04-Karsilastirmalar\01-Katilinan_Karsilastirmalar\_EURAMET.QM-SXX\IMBIH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edosya\G3-KIMYA\INORGANIKKIMYA\04-Karsilastirmalar\01-Katilinan_Karsilastirmalar\_EURAMET.QM-SXX\IMBIH_logo.jpg"/>
                    <pic:cNvPicPr>
                      <a:picLocks noChangeAspect="1" noChangeArrowheads="1"/>
                    </pic:cNvPicPr>
                  </pic:nvPicPr>
                  <pic:blipFill>
                    <a:blip r:embed="rId8" cstate="print"/>
                    <a:srcRect/>
                    <a:stretch>
                      <a:fillRect/>
                    </a:stretch>
                  </pic:blipFill>
                  <pic:spPr bwMode="auto">
                    <a:xfrm>
                      <a:off x="0" y="0"/>
                      <a:ext cx="704850" cy="923925"/>
                    </a:xfrm>
                    <a:prstGeom prst="rect">
                      <a:avLst/>
                    </a:prstGeom>
                    <a:noFill/>
                    <a:ln w="9525">
                      <a:noFill/>
                      <a:miter lim="800000"/>
                      <a:headEnd/>
                      <a:tailEnd/>
                    </a:ln>
                  </pic:spPr>
                </pic:pic>
              </a:graphicData>
            </a:graphic>
          </wp:anchor>
        </w:drawing>
      </w:r>
      <w:r>
        <w:rPr>
          <w:rFonts w:ascii="Arial" w:hAnsi="Arial" w:cs="Arial"/>
          <w:b/>
          <w:noProof/>
          <w:sz w:val="28"/>
          <w:szCs w:val="28"/>
          <w:lang w:val="tr-TR" w:eastAsia="tr-TR"/>
        </w:rPr>
        <w:drawing>
          <wp:anchor distT="0" distB="0" distL="114300" distR="114300" simplePos="0" relativeHeight="251659264" behindDoc="0" locked="0" layoutInCell="1" allowOverlap="1">
            <wp:simplePos x="0" y="0"/>
            <wp:positionH relativeFrom="column">
              <wp:posOffset>-376555</wp:posOffset>
            </wp:positionH>
            <wp:positionV relativeFrom="paragraph">
              <wp:posOffset>-176530</wp:posOffset>
            </wp:positionV>
            <wp:extent cx="714375" cy="866775"/>
            <wp:effectExtent l="19050" t="0" r="9525"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714375" cy="866775"/>
                    </a:xfrm>
                    <a:prstGeom prst="rect">
                      <a:avLst/>
                    </a:prstGeom>
                    <a:noFill/>
                    <a:ln w="9525">
                      <a:noFill/>
                      <a:miter lim="800000"/>
                      <a:headEnd/>
                      <a:tailEnd/>
                    </a:ln>
                  </pic:spPr>
                </pic:pic>
              </a:graphicData>
            </a:graphic>
          </wp:anchor>
        </w:drawing>
      </w:r>
      <w:r w:rsidR="00F55590" w:rsidRPr="00F55590">
        <w:rPr>
          <w:rFonts w:ascii="Arial" w:hAnsi="Arial" w:cs="Arial"/>
          <w:b/>
          <w:sz w:val="28"/>
          <w:szCs w:val="28"/>
          <w:lang w:eastAsia="ko-KR"/>
        </w:rPr>
        <w:t>EURAMET.QM-S</w:t>
      </w:r>
      <w:r w:rsidR="000E419E">
        <w:rPr>
          <w:rFonts w:ascii="Arial" w:hAnsi="Arial" w:cs="Arial"/>
          <w:b/>
          <w:sz w:val="28"/>
          <w:szCs w:val="28"/>
          <w:lang w:eastAsia="ko-KR"/>
        </w:rPr>
        <w:t>11</w:t>
      </w:r>
      <w:r w:rsidR="00F55590" w:rsidRPr="00F55590">
        <w:rPr>
          <w:rFonts w:ascii="Arial" w:hAnsi="Arial" w:cs="Arial"/>
          <w:b/>
          <w:sz w:val="28"/>
          <w:szCs w:val="28"/>
          <w:lang w:eastAsia="ko-KR"/>
        </w:rPr>
        <w:t xml:space="preserve"> </w:t>
      </w:r>
      <w:r w:rsidR="00F55590" w:rsidRPr="00373506">
        <w:rPr>
          <w:rFonts w:ascii="Arial" w:hAnsi="Arial" w:cs="Arial"/>
          <w:b/>
          <w:sz w:val="28"/>
          <w:szCs w:val="28"/>
          <w:lang w:eastAsia="ko-KR"/>
        </w:rPr>
        <w:t xml:space="preserve">/ </w:t>
      </w:r>
      <w:r w:rsidR="00373506" w:rsidRPr="00012FB9">
        <w:rPr>
          <w:rFonts w:ascii="Arial" w:hAnsi="Arial" w:cs="Arial"/>
          <w:b/>
          <w:sz w:val="28"/>
          <w:szCs w:val="28"/>
          <w:lang w:eastAsia="ko-KR"/>
        </w:rPr>
        <w:t>EURAMET</w:t>
      </w:r>
      <w:r w:rsidR="00373506" w:rsidRPr="00012FB9">
        <w:rPr>
          <w:rFonts w:ascii="Arial" w:hAnsi="Arial" w:cs="Arial"/>
          <w:b/>
          <w:lang w:eastAsia="ko-KR"/>
        </w:rPr>
        <w:t xml:space="preserve"> </w:t>
      </w:r>
      <w:r w:rsidR="00012FB9">
        <w:rPr>
          <w:rFonts w:ascii="Arial" w:hAnsi="Arial" w:cs="Arial"/>
          <w:b/>
          <w:sz w:val="28"/>
          <w:szCs w:val="28"/>
          <w:lang w:eastAsia="ko-KR"/>
        </w:rPr>
        <w:t>pilot</w:t>
      </w:r>
      <w:r w:rsidR="00F55590" w:rsidRPr="00F55590">
        <w:rPr>
          <w:rFonts w:ascii="Arial" w:hAnsi="Arial" w:cs="Arial"/>
          <w:b/>
          <w:sz w:val="28"/>
          <w:szCs w:val="28"/>
          <w:lang w:eastAsia="ko-KR"/>
        </w:rPr>
        <w:t xml:space="preserve"> </w:t>
      </w:r>
    </w:p>
    <w:p w:rsidR="00FB6988" w:rsidRPr="00F55590" w:rsidRDefault="00FB6988" w:rsidP="00F55590">
      <w:pPr>
        <w:jc w:val="center"/>
        <w:rPr>
          <w:rFonts w:ascii="Arial" w:hAnsi="Arial" w:cs="Arial"/>
          <w:b/>
          <w:sz w:val="28"/>
          <w:szCs w:val="28"/>
          <w:lang w:eastAsia="ko-KR"/>
        </w:rPr>
      </w:pPr>
    </w:p>
    <w:p w:rsidR="00AF35D4" w:rsidRDefault="00F55590" w:rsidP="00F55590">
      <w:pPr>
        <w:spacing w:line="360" w:lineRule="exact"/>
        <w:jc w:val="center"/>
        <w:rPr>
          <w:rFonts w:ascii="Arial" w:hAnsi="Arial" w:cs="Arial"/>
          <w:b/>
          <w:sz w:val="26"/>
          <w:szCs w:val="26"/>
          <w:lang w:eastAsia="ja-JP"/>
        </w:rPr>
      </w:pPr>
      <w:r w:rsidRPr="00AF35D4">
        <w:rPr>
          <w:rFonts w:ascii="Arial" w:hAnsi="Arial" w:cs="Arial"/>
          <w:b/>
          <w:sz w:val="26"/>
          <w:szCs w:val="26"/>
          <w:lang w:eastAsia="ja-JP"/>
        </w:rPr>
        <w:t xml:space="preserve">Supplementary comparison &amp; pilot study on </w:t>
      </w:r>
    </w:p>
    <w:p w:rsidR="00703103" w:rsidRPr="00AF35D4" w:rsidRDefault="00F55590" w:rsidP="00F55590">
      <w:pPr>
        <w:spacing w:line="360" w:lineRule="exact"/>
        <w:jc w:val="center"/>
        <w:rPr>
          <w:rFonts w:ascii="Arial" w:hAnsi="Arial" w:cs="Arial"/>
          <w:b/>
          <w:sz w:val="26"/>
          <w:szCs w:val="26"/>
          <w:lang w:eastAsia="ja-JP"/>
        </w:rPr>
      </w:pPr>
      <w:proofErr w:type="gramStart"/>
      <w:r w:rsidRPr="00AF35D4">
        <w:rPr>
          <w:rFonts w:ascii="Arial" w:hAnsi="Arial" w:cs="Arial"/>
          <w:b/>
          <w:sz w:val="26"/>
          <w:szCs w:val="26"/>
          <w:lang w:eastAsia="ja-JP"/>
        </w:rPr>
        <w:t>determination</w:t>
      </w:r>
      <w:proofErr w:type="gramEnd"/>
      <w:r w:rsidRPr="00AF35D4">
        <w:rPr>
          <w:rFonts w:ascii="Arial" w:hAnsi="Arial" w:cs="Arial"/>
          <w:b/>
          <w:sz w:val="26"/>
          <w:szCs w:val="26"/>
          <w:lang w:eastAsia="ja-JP"/>
        </w:rPr>
        <w:t xml:space="preserve"> of</w:t>
      </w:r>
    </w:p>
    <w:p w:rsidR="004D086C" w:rsidRPr="00F55590" w:rsidRDefault="00F55590" w:rsidP="00F55590">
      <w:pPr>
        <w:spacing w:line="360" w:lineRule="exact"/>
        <w:jc w:val="center"/>
        <w:rPr>
          <w:rFonts w:ascii="Arial" w:hAnsi="Arial" w:cs="Arial"/>
          <w:b/>
          <w:sz w:val="28"/>
          <w:szCs w:val="28"/>
          <w:lang w:eastAsia="ja-JP"/>
        </w:rPr>
      </w:pPr>
      <w:r w:rsidRPr="00F55590">
        <w:rPr>
          <w:rFonts w:ascii="Arial" w:hAnsi="Arial" w:cs="Arial"/>
          <w:b/>
          <w:sz w:val="28"/>
          <w:szCs w:val="28"/>
          <w:lang w:eastAsia="ko-KR"/>
        </w:rPr>
        <w:t>Elements in River Water</w:t>
      </w:r>
      <w:r w:rsidRPr="00F55590">
        <w:rPr>
          <w:rFonts w:ascii="Arial" w:hAnsi="Arial" w:cs="Arial"/>
          <w:b/>
          <w:sz w:val="28"/>
          <w:szCs w:val="28"/>
          <w:lang w:eastAsia="ja-JP"/>
        </w:rPr>
        <w:t xml:space="preserve"> </w:t>
      </w:r>
    </w:p>
    <w:p w:rsidR="004D086C" w:rsidRPr="00FB6988" w:rsidRDefault="00F55590" w:rsidP="000E419E">
      <w:pPr>
        <w:spacing w:beforeLines="100"/>
        <w:jc w:val="center"/>
        <w:rPr>
          <w:rFonts w:ascii="Arial" w:hAnsi="Arial" w:cs="Arial"/>
          <w:b/>
          <w:sz w:val="28"/>
          <w:szCs w:val="28"/>
          <w:lang w:eastAsia="ja-JP"/>
        </w:rPr>
      </w:pPr>
      <w:r w:rsidRPr="00FB6988">
        <w:rPr>
          <w:rFonts w:ascii="Arial" w:hAnsi="Arial" w:cs="Arial"/>
          <w:b/>
          <w:sz w:val="28"/>
          <w:szCs w:val="28"/>
          <w:lang w:eastAsia="ja-JP"/>
        </w:rPr>
        <w:t>T</w:t>
      </w:r>
      <w:r w:rsidR="004D086C" w:rsidRPr="00FB6988">
        <w:rPr>
          <w:rFonts w:ascii="Arial" w:hAnsi="Arial" w:cs="Arial"/>
          <w:b/>
          <w:sz w:val="28"/>
          <w:szCs w:val="28"/>
          <w:lang w:eastAsia="ja-JP"/>
        </w:rPr>
        <w:t>echnical protocol</w:t>
      </w:r>
    </w:p>
    <w:p w:rsidR="004D086C" w:rsidRPr="004D086C" w:rsidRDefault="004D086C" w:rsidP="004D086C">
      <w:pPr>
        <w:spacing w:line="500" w:lineRule="exact"/>
        <w:jc w:val="center"/>
        <w:rPr>
          <w:rFonts w:ascii="Times New Roman" w:hAnsi="Times New Roman"/>
          <w:sz w:val="20"/>
          <w:szCs w:val="20"/>
        </w:rPr>
      </w:pPr>
    </w:p>
    <w:p w:rsidR="004D086C" w:rsidRPr="00703103" w:rsidRDefault="004D086C" w:rsidP="004D086C">
      <w:pPr>
        <w:numPr>
          <w:ilvl w:val="0"/>
          <w:numId w:val="1"/>
        </w:numPr>
        <w:jc w:val="both"/>
        <w:rPr>
          <w:b/>
        </w:rPr>
      </w:pPr>
      <w:r w:rsidRPr="00703103">
        <w:rPr>
          <w:b/>
        </w:rPr>
        <w:t>Introduction</w:t>
      </w:r>
    </w:p>
    <w:p w:rsidR="004D086C" w:rsidRDefault="004D086C" w:rsidP="004D086C">
      <w:pPr>
        <w:jc w:val="both"/>
        <w:rPr>
          <w:rFonts w:ascii="Times New Roman" w:hAnsi="Times New Roman"/>
        </w:rPr>
      </w:pPr>
    </w:p>
    <w:p w:rsidR="00703103" w:rsidRPr="00703103" w:rsidRDefault="00D33943" w:rsidP="00D33943">
      <w:pPr>
        <w:widowControl/>
        <w:autoSpaceDE w:val="0"/>
        <w:autoSpaceDN w:val="0"/>
        <w:adjustRightInd w:val="0"/>
        <w:jc w:val="both"/>
        <w:rPr>
          <w:color w:val="000000"/>
          <w:kern w:val="0"/>
          <w:szCs w:val="24"/>
          <w:lang w:val="tr-TR" w:eastAsia="tr-TR"/>
        </w:rPr>
      </w:pPr>
      <w:r w:rsidRPr="00703103">
        <w:rPr>
          <w:color w:val="000000"/>
          <w:kern w:val="0"/>
          <w:szCs w:val="24"/>
          <w:lang w:val="tr-TR" w:eastAsia="tr-TR"/>
        </w:rPr>
        <w:t>The need for quality assessment of anthropogenic impact on environmental pollution is  increasing due to discharge from various industries, the use of chemicals in agriculture and the consumption of fossil fuels. Diminishing resources such as natural waters used for the cultivation of agricultural products, plant and animal habitats are under severe pollution pressure and are at constant risk. The EU has stipulated the maximum allowable concentration</w:t>
      </w:r>
      <w:r w:rsidR="00703103">
        <w:rPr>
          <w:color w:val="000000"/>
          <w:kern w:val="0"/>
          <w:szCs w:val="24"/>
          <w:lang w:val="tr-TR" w:eastAsia="tr-TR"/>
        </w:rPr>
        <w:t xml:space="preserve"> </w:t>
      </w:r>
      <w:r w:rsidRPr="00703103">
        <w:rPr>
          <w:color w:val="000000"/>
          <w:kern w:val="0"/>
          <w:szCs w:val="24"/>
          <w:lang w:val="tr-TR" w:eastAsia="tr-TR"/>
        </w:rPr>
        <w:t>of priority pollutants in different classes of surface water under the Water Framework Directive in Directive 2008/105/EC Annex I “Environmental quality standards for priority substances and certain other pollutants”, and Annex II “List of priority substances in the field of water policy”. Several parameters, such as Pb, Cd, Ni, Hg were listed in the priority substances and Cd and Hg were further identified as priority hazardous substances. Arsenic is also an important</w:t>
      </w:r>
      <w:r w:rsidR="002308E3">
        <w:rPr>
          <w:color w:val="000000"/>
          <w:kern w:val="0"/>
          <w:szCs w:val="24"/>
          <w:lang w:val="tr-TR" w:eastAsia="tr-TR"/>
        </w:rPr>
        <w:t xml:space="preserve"> contaminant for</w:t>
      </w:r>
      <w:r w:rsidRPr="00703103">
        <w:rPr>
          <w:color w:val="000000"/>
          <w:kern w:val="0"/>
          <w:szCs w:val="24"/>
          <w:lang w:val="tr-TR" w:eastAsia="tr-TR"/>
        </w:rPr>
        <w:t xml:space="preserve"> its potential toxicological and carcinogenic effects. </w:t>
      </w:r>
    </w:p>
    <w:p w:rsidR="00703103" w:rsidRDefault="00703103" w:rsidP="00D33943">
      <w:pPr>
        <w:widowControl/>
        <w:autoSpaceDE w:val="0"/>
        <w:autoSpaceDN w:val="0"/>
        <w:adjustRightInd w:val="0"/>
        <w:jc w:val="both"/>
        <w:rPr>
          <w:rFonts w:ascii="Times New Roman" w:hAnsi="Times New Roman"/>
          <w:color w:val="000000"/>
          <w:kern w:val="0"/>
          <w:szCs w:val="24"/>
          <w:lang w:val="tr-TR" w:eastAsia="tr-TR"/>
        </w:rPr>
      </w:pPr>
    </w:p>
    <w:p w:rsidR="00847873" w:rsidRDefault="00847873" w:rsidP="00D33943">
      <w:pPr>
        <w:widowControl/>
        <w:autoSpaceDE w:val="0"/>
        <w:autoSpaceDN w:val="0"/>
        <w:adjustRightInd w:val="0"/>
        <w:jc w:val="both"/>
        <w:rPr>
          <w:color w:val="000000"/>
          <w:kern w:val="0"/>
          <w:szCs w:val="24"/>
          <w:lang w:val="tr-TR" w:eastAsia="tr-TR"/>
        </w:rPr>
      </w:pPr>
      <w:r>
        <w:rPr>
          <w:color w:val="000000"/>
          <w:kern w:val="0"/>
          <w:szCs w:val="24"/>
          <w:lang w:val="tr-TR" w:eastAsia="tr-TR"/>
        </w:rPr>
        <w:t>The</w:t>
      </w:r>
      <w:r w:rsidR="002308E3" w:rsidRPr="002308E3">
        <w:rPr>
          <w:color w:val="000000"/>
          <w:kern w:val="0"/>
          <w:szCs w:val="24"/>
          <w:lang w:val="tr-TR" w:eastAsia="tr-TR"/>
        </w:rPr>
        <w:t xml:space="preserve"> study is organized</w:t>
      </w:r>
      <w:r>
        <w:rPr>
          <w:color w:val="000000"/>
          <w:kern w:val="0"/>
          <w:szCs w:val="24"/>
          <w:lang w:val="tr-TR" w:eastAsia="tr-TR"/>
        </w:rPr>
        <w:t xml:space="preserve"> as part of the Matrix Reference Materials for Environmental </w:t>
      </w:r>
      <w:r w:rsidR="00F6318A">
        <w:rPr>
          <w:color w:val="000000"/>
          <w:kern w:val="0"/>
          <w:szCs w:val="24"/>
          <w:lang w:val="tr-TR" w:eastAsia="tr-TR"/>
        </w:rPr>
        <w:t xml:space="preserve">Analysis </w:t>
      </w:r>
      <w:r>
        <w:rPr>
          <w:color w:val="000000"/>
          <w:kern w:val="0"/>
          <w:szCs w:val="24"/>
          <w:lang w:val="tr-TR" w:eastAsia="tr-TR"/>
        </w:rPr>
        <w:t xml:space="preserve">(EnvCRM) project </w:t>
      </w:r>
      <w:r w:rsidR="00F6318A">
        <w:rPr>
          <w:color w:val="000000"/>
          <w:kern w:val="0"/>
          <w:szCs w:val="24"/>
          <w:lang w:val="tr-TR" w:eastAsia="tr-TR"/>
        </w:rPr>
        <w:t>(</w:t>
      </w:r>
      <w:hyperlink r:id="rId10" w:history="1">
        <w:r w:rsidR="00F6318A" w:rsidRPr="00440D55">
          <w:rPr>
            <w:rStyle w:val="Hyperlink"/>
            <w:kern w:val="0"/>
            <w:szCs w:val="24"/>
            <w:lang w:val="tr-TR" w:eastAsia="tr-TR"/>
          </w:rPr>
          <w:t>www.envcrm.com</w:t>
        </w:r>
      </w:hyperlink>
      <w:r w:rsidR="00F6318A">
        <w:rPr>
          <w:color w:val="000000"/>
          <w:kern w:val="0"/>
          <w:szCs w:val="24"/>
          <w:lang w:val="tr-TR" w:eastAsia="tr-TR"/>
        </w:rPr>
        <w:t xml:space="preserve">) </w:t>
      </w:r>
      <w:r>
        <w:rPr>
          <w:color w:val="000000"/>
          <w:kern w:val="0"/>
          <w:szCs w:val="24"/>
          <w:lang w:val="tr-TR" w:eastAsia="tr-TR"/>
        </w:rPr>
        <w:t>funded by Environmental European Metrology Programme for Innovation and Research (EMPIR). The candidate ‘Elements in River Water’ certified reference material (CRM) is one of the three reference mater</w:t>
      </w:r>
      <w:r w:rsidR="0092692B">
        <w:rPr>
          <w:color w:val="000000"/>
          <w:kern w:val="0"/>
          <w:szCs w:val="24"/>
          <w:lang w:val="tr-TR" w:eastAsia="tr-TR"/>
        </w:rPr>
        <w:t>i</w:t>
      </w:r>
      <w:r>
        <w:rPr>
          <w:color w:val="000000"/>
          <w:kern w:val="0"/>
          <w:szCs w:val="24"/>
          <w:lang w:val="tr-TR" w:eastAsia="tr-TR"/>
        </w:rPr>
        <w:t xml:space="preserve">als targeted in the project, and serves as the test material for this study. </w:t>
      </w:r>
    </w:p>
    <w:p w:rsidR="00847873" w:rsidRDefault="00847873" w:rsidP="00D33943">
      <w:pPr>
        <w:widowControl/>
        <w:autoSpaceDE w:val="0"/>
        <w:autoSpaceDN w:val="0"/>
        <w:adjustRightInd w:val="0"/>
        <w:jc w:val="both"/>
        <w:rPr>
          <w:color w:val="000000"/>
          <w:kern w:val="0"/>
          <w:szCs w:val="24"/>
          <w:lang w:val="tr-TR" w:eastAsia="tr-TR"/>
        </w:rPr>
      </w:pPr>
    </w:p>
    <w:p w:rsidR="009976F8" w:rsidRDefault="00847873" w:rsidP="00D33943">
      <w:pPr>
        <w:widowControl/>
        <w:autoSpaceDE w:val="0"/>
        <w:autoSpaceDN w:val="0"/>
        <w:adjustRightInd w:val="0"/>
        <w:jc w:val="both"/>
        <w:rPr>
          <w:color w:val="000000"/>
          <w:kern w:val="0"/>
          <w:szCs w:val="24"/>
          <w:lang w:val="tr-TR" w:eastAsia="tr-TR"/>
        </w:rPr>
      </w:pPr>
      <w:r>
        <w:rPr>
          <w:color w:val="000000"/>
          <w:kern w:val="0"/>
          <w:szCs w:val="24"/>
          <w:lang w:val="tr-TR" w:eastAsia="tr-TR"/>
        </w:rPr>
        <w:t>The aim of the</w:t>
      </w:r>
      <w:r w:rsidR="002308E3" w:rsidRPr="002308E3">
        <w:rPr>
          <w:color w:val="000000"/>
          <w:kern w:val="0"/>
          <w:szCs w:val="24"/>
          <w:lang w:val="tr-TR" w:eastAsia="tr-TR"/>
        </w:rPr>
        <w:t xml:space="preserve"> </w:t>
      </w:r>
      <w:r>
        <w:rPr>
          <w:color w:val="000000"/>
          <w:kern w:val="0"/>
          <w:szCs w:val="24"/>
          <w:lang w:val="tr-TR" w:eastAsia="tr-TR"/>
        </w:rPr>
        <w:t xml:space="preserve">study is to </w:t>
      </w:r>
      <w:r w:rsidR="002308E3" w:rsidRPr="002308E3">
        <w:rPr>
          <w:color w:val="000000"/>
          <w:kern w:val="0"/>
          <w:szCs w:val="24"/>
          <w:lang w:val="tr-TR" w:eastAsia="tr-TR"/>
        </w:rPr>
        <w:t xml:space="preserve">test the capabilities of participants in measuring the elements As, Cd, Ni, Pb and Se in river water. </w:t>
      </w:r>
      <w:r w:rsidR="009976F8">
        <w:rPr>
          <w:color w:val="000000"/>
          <w:kern w:val="0"/>
          <w:szCs w:val="24"/>
          <w:lang w:val="tr-TR" w:eastAsia="tr-TR"/>
        </w:rPr>
        <w:t xml:space="preserve">While the elements As, Cd, Ni and Pb are </w:t>
      </w:r>
      <w:r w:rsidR="0092692B">
        <w:rPr>
          <w:color w:val="000000"/>
          <w:kern w:val="0"/>
          <w:szCs w:val="24"/>
          <w:lang w:val="tr-TR" w:eastAsia="tr-TR"/>
        </w:rPr>
        <w:t>mandatory measurands</w:t>
      </w:r>
      <w:r w:rsidR="009976F8">
        <w:rPr>
          <w:color w:val="000000"/>
          <w:kern w:val="0"/>
          <w:szCs w:val="24"/>
          <w:lang w:val="tr-TR" w:eastAsia="tr-TR"/>
        </w:rPr>
        <w:t xml:space="preserve">, Se is optional. Although it was targeted first, Hg has been excluded from the list due to the stability issues. </w:t>
      </w:r>
    </w:p>
    <w:p w:rsidR="009976F8" w:rsidRDefault="009976F8" w:rsidP="00D33943">
      <w:pPr>
        <w:widowControl/>
        <w:autoSpaceDE w:val="0"/>
        <w:autoSpaceDN w:val="0"/>
        <w:adjustRightInd w:val="0"/>
        <w:jc w:val="both"/>
        <w:rPr>
          <w:color w:val="000000"/>
          <w:kern w:val="0"/>
          <w:szCs w:val="24"/>
          <w:lang w:val="tr-TR" w:eastAsia="tr-TR"/>
        </w:rPr>
      </w:pPr>
    </w:p>
    <w:p w:rsidR="00D33943" w:rsidRDefault="002308E3" w:rsidP="00D33943">
      <w:pPr>
        <w:widowControl/>
        <w:autoSpaceDE w:val="0"/>
        <w:autoSpaceDN w:val="0"/>
        <w:adjustRightInd w:val="0"/>
        <w:jc w:val="both"/>
        <w:rPr>
          <w:color w:val="000000"/>
          <w:kern w:val="0"/>
          <w:szCs w:val="24"/>
          <w:lang w:val="tr-TR" w:eastAsia="tr-TR"/>
        </w:rPr>
      </w:pPr>
      <w:r w:rsidRPr="002308E3">
        <w:rPr>
          <w:color w:val="000000"/>
          <w:kern w:val="0"/>
          <w:szCs w:val="24"/>
          <w:lang w:val="tr-TR" w:eastAsia="tr-TR"/>
        </w:rPr>
        <w:t xml:space="preserve">The participants </w:t>
      </w:r>
      <w:r w:rsidR="009976F8">
        <w:rPr>
          <w:color w:val="000000"/>
          <w:kern w:val="0"/>
          <w:szCs w:val="24"/>
          <w:lang w:val="tr-TR" w:eastAsia="tr-TR"/>
        </w:rPr>
        <w:t xml:space="preserve">of supplementary comparison </w:t>
      </w:r>
      <w:r w:rsidRPr="002308E3">
        <w:rPr>
          <w:color w:val="000000"/>
          <w:kern w:val="0"/>
          <w:szCs w:val="24"/>
          <w:lang w:val="tr-TR" w:eastAsia="tr-TR"/>
        </w:rPr>
        <w:t>will</w:t>
      </w:r>
      <w:r w:rsidR="009976F8">
        <w:rPr>
          <w:color w:val="000000"/>
          <w:kern w:val="0"/>
          <w:szCs w:val="24"/>
          <w:lang w:val="tr-TR" w:eastAsia="tr-TR"/>
        </w:rPr>
        <w:t xml:space="preserve"> </w:t>
      </w:r>
      <w:r w:rsidRPr="002308E3">
        <w:rPr>
          <w:color w:val="000000"/>
          <w:kern w:val="0"/>
          <w:szCs w:val="24"/>
          <w:lang w:val="tr-TR" w:eastAsia="tr-TR"/>
        </w:rPr>
        <w:t>be able to use the comparison results to support their CMC claims</w:t>
      </w:r>
      <w:r w:rsidR="009976F8">
        <w:rPr>
          <w:color w:val="000000"/>
          <w:kern w:val="0"/>
          <w:szCs w:val="24"/>
          <w:lang w:val="tr-TR" w:eastAsia="tr-TR"/>
        </w:rPr>
        <w:t xml:space="preserve"> for the elements of interest</w:t>
      </w:r>
      <w:r w:rsidRPr="002308E3">
        <w:rPr>
          <w:color w:val="000000"/>
          <w:kern w:val="0"/>
          <w:szCs w:val="24"/>
          <w:lang w:val="tr-TR" w:eastAsia="tr-TR"/>
        </w:rPr>
        <w:t>. Along with the Core Capability Tables, it may be possible to claim CMCs in related matrices as well.</w:t>
      </w:r>
    </w:p>
    <w:p w:rsidR="009976F8" w:rsidRPr="002308E3" w:rsidRDefault="009976F8" w:rsidP="00D33943">
      <w:pPr>
        <w:widowControl/>
        <w:autoSpaceDE w:val="0"/>
        <w:autoSpaceDN w:val="0"/>
        <w:adjustRightInd w:val="0"/>
        <w:jc w:val="both"/>
        <w:rPr>
          <w:color w:val="000000"/>
          <w:kern w:val="0"/>
          <w:szCs w:val="24"/>
          <w:lang w:val="tr-TR" w:eastAsia="tr-TR"/>
        </w:rPr>
      </w:pPr>
    </w:p>
    <w:p w:rsidR="00C612C0" w:rsidRPr="00036860" w:rsidRDefault="00C612C0" w:rsidP="00224137">
      <w:pPr>
        <w:jc w:val="both"/>
        <w:rPr>
          <w:rFonts w:ascii="Times New Roman" w:eastAsia="MS Mincho" w:hAnsi="Times New Roman"/>
          <w:szCs w:val="24"/>
          <w:highlight w:val="yellow"/>
          <w:lang w:eastAsia="ja-JP"/>
        </w:rPr>
      </w:pPr>
    </w:p>
    <w:p w:rsidR="00E11095" w:rsidRPr="009976F8" w:rsidRDefault="00BD0FA0" w:rsidP="00F76A8D">
      <w:pPr>
        <w:numPr>
          <w:ilvl w:val="0"/>
          <w:numId w:val="1"/>
        </w:numPr>
        <w:jc w:val="both"/>
        <w:rPr>
          <w:b/>
        </w:rPr>
      </w:pPr>
      <w:r w:rsidRPr="009976F8">
        <w:rPr>
          <w:b/>
        </w:rPr>
        <w:t>Test material</w:t>
      </w:r>
    </w:p>
    <w:p w:rsidR="009976F8" w:rsidRPr="009976F8" w:rsidRDefault="009976F8" w:rsidP="009976F8">
      <w:pPr>
        <w:ind w:left="360"/>
        <w:jc w:val="both"/>
        <w:rPr>
          <w:b/>
        </w:rPr>
      </w:pPr>
    </w:p>
    <w:p w:rsidR="00FB6988" w:rsidRPr="009976F8" w:rsidRDefault="00F55590" w:rsidP="00F76A8D">
      <w:pPr>
        <w:jc w:val="both"/>
        <w:rPr>
          <w:szCs w:val="24"/>
          <w:lang w:eastAsia="ja-JP"/>
        </w:rPr>
      </w:pPr>
      <w:r w:rsidRPr="009976F8">
        <w:rPr>
          <w:szCs w:val="24"/>
          <w:lang w:eastAsia="ja-JP"/>
        </w:rPr>
        <w:t xml:space="preserve">River water, candidate certified reference material, was collected from a creek feeding </w:t>
      </w:r>
      <w:proofErr w:type="spellStart"/>
      <w:r w:rsidR="00036860" w:rsidRPr="009976F8">
        <w:rPr>
          <w:szCs w:val="24"/>
          <w:lang w:eastAsia="ja-JP"/>
        </w:rPr>
        <w:t>Darlık</w:t>
      </w:r>
      <w:proofErr w:type="spellEnd"/>
      <w:r w:rsidR="00036860" w:rsidRPr="009976F8">
        <w:rPr>
          <w:szCs w:val="24"/>
          <w:lang w:eastAsia="ja-JP"/>
        </w:rPr>
        <w:t xml:space="preserve"> dam</w:t>
      </w:r>
      <w:r w:rsidRPr="009976F8">
        <w:rPr>
          <w:szCs w:val="24"/>
          <w:lang w:eastAsia="ja-JP"/>
        </w:rPr>
        <w:t xml:space="preserve"> reservoir providing city water to Istanbul.</w:t>
      </w:r>
      <w:r w:rsidR="00F76A8D" w:rsidRPr="009976F8">
        <w:rPr>
          <w:szCs w:val="24"/>
          <w:lang w:eastAsia="ja-JP"/>
        </w:rPr>
        <w:t xml:space="preserve"> </w:t>
      </w:r>
      <w:r w:rsidRPr="009976F8">
        <w:rPr>
          <w:szCs w:val="24"/>
          <w:lang w:eastAsia="ja-JP"/>
        </w:rPr>
        <w:t>The material was acidified to have a</w:t>
      </w:r>
      <w:r w:rsidR="00FB6988" w:rsidRPr="009976F8">
        <w:rPr>
          <w:szCs w:val="24"/>
          <w:lang w:eastAsia="ja-JP"/>
        </w:rPr>
        <w:t xml:space="preserve"> final concentration of</w:t>
      </w:r>
      <w:r w:rsidRPr="009976F8">
        <w:rPr>
          <w:szCs w:val="24"/>
          <w:lang w:eastAsia="ja-JP"/>
        </w:rPr>
        <w:t xml:space="preserve"> 2% (v/v) HNO</w:t>
      </w:r>
      <w:r w:rsidRPr="009976F8">
        <w:rPr>
          <w:szCs w:val="24"/>
          <w:vertAlign w:val="subscript"/>
          <w:lang w:eastAsia="ja-JP"/>
        </w:rPr>
        <w:t>3</w:t>
      </w:r>
      <w:r w:rsidRPr="009976F8">
        <w:rPr>
          <w:szCs w:val="24"/>
          <w:lang w:eastAsia="ja-JP"/>
        </w:rPr>
        <w:t>, and stored in +4</w:t>
      </w:r>
      <w:r w:rsidR="00F76A8D" w:rsidRPr="009976F8">
        <w:rPr>
          <w:szCs w:val="24"/>
          <w:lang w:eastAsia="ja-JP"/>
        </w:rPr>
        <w:t xml:space="preserve"> </w:t>
      </w:r>
      <w:r w:rsidR="00FB6988" w:rsidRPr="009976F8">
        <w:rPr>
          <w:szCs w:val="24"/>
          <w:lang w:eastAsia="ja-JP"/>
        </w:rPr>
        <w:t>°</w:t>
      </w:r>
      <w:r w:rsidRPr="009976F8">
        <w:rPr>
          <w:szCs w:val="24"/>
          <w:lang w:eastAsia="ja-JP"/>
        </w:rPr>
        <w:t>C</w:t>
      </w:r>
      <w:r w:rsidR="00FB6988" w:rsidRPr="009976F8">
        <w:rPr>
          <w:szCs w:val="24"/>
          <w:lang w:eastAsia="ja-JP"/>
        </w:rPr>
        <w:t xml:space="preserve"> refrigerated room</w:t>
      </w:r>
      <w:r w:rsidRPr="009976F8">
        <w:rPr>
          <w:szCs w:val="24"/>
          <w:lang w:eastAsia="ja-JP"/>
        </w:rPr>
        <w:t xml:space="preserve"> for 2 months until further processing. </w:t>
      </w:r>
      <w:r w:rsidR="00036860" w:rsidRPr="009976F8">
        <w:rPr>
          <w:szCs w:val="24"/>
          <w:lang w:eastAsia="ja-JP"/>
        </w:rPr>
        <w:t>All the water was</w:t>
      </w:r>
      <w:r w:rsidR="00165184" w:rsidRPr="009976F8">
        <w:rPr>
          <w:szCs w:val="24"/>
          <w:lang w:eastAsia="ja-JP"/>
        </w:rPr>
        <w:t xml:space="preserve"> filtered through a coarse filter and a 0.45 um-pore size filter, respectively. After adding the elements to reach in appropriate concentrations, the whole batch (about 140 </w:t>
      </w:r>
      <w:r w:rsidR="003D7DAA" w:rsidRPr="009976F8">
        <w:rPr>
          <w:szCs w:val="24"/>
          <w:lang w:eastAsia="ja-JP"/>
        </w:rPr>
        <w:t xml:space="preserve">L) was homogenized for 6 hours. After this step, the water sample was filled in HDPE bottles to have a volume of 100 </w:t>
      </w:r>
      <w:proofErr w:type="spellStart"/>
      <w:r w:rsidR="003D7DAA" w:rsidRPr="009976F8">
        <w:rPr>
          <w:szCs w:val="24"/>
          <w:lang w:eastAsia="ja-JP"/>
        </w:rPr>
        <w:t>mL.</w:t>
      </w:r>
      <w:proofErr w:type="spellEnd"/>
      <w:r w:rsidR="00F6318A">
        <w:rPr>
          <w:szCs w:val="24"/>
          <w:lang w:eastAsia="ja-JP"/>
        </w:rPr>
        <w:t xml:space="preserve"> Capped bottles were gamma irradiated for sterilization.</w:t>
      </w:r>
    </w:p>
    <w:p w:rsidR="003D7DAA" w:rsidRPr="00D179CE" w:rsidRDefault="003D7DAA" w:rsidP="003D7DAA">
      <w:pPr>
        <w:jc w:val="both"/>
        <w:rPr>
          <w:szCs w:val="24"/>
          <w:lang w:eastAsia="ja-JP"/>
        </w:rPr>
      </w:pPr>
    </w:p>
    <w:p w:rsidR="003D7DAA" w:rsidRPr="00D179CE" w:rsidRDefault="00847873" w:rsidP="003D7DAA">
      <w:pPr>
        <w:jc w:val="both"/>
        <w:rPr>
          <w:szCs w:val="24"/>
          <w:lang w:eastAsia="ja-JP"/>
        </w:rPr>
      </w:pPr>
      <w:r w:rsidRPr="00D179CE">
        <w:rPr>
          <w:szCs w:val="24"/>
          <w:lang w:eastAsia="ja-JP"/>
        </w:rPr>
        <w:t xml:space="preserve">The </w:t>
      </w:r>
      <w:r w:rsidR="00D179CE" w:rsidRPr="00D179CE">
        <w:rPr>
          <w:szCs w:val="24"/>
          <w:lang w:eastAsia="ja-JP"/>
        </w:rPr>
        <w:t xml:space="preserve">homogeneity of the test </w:t>
      </w:r>
      <w:r w:rsidRPr="00D179CE">
        <w:rPr>
          <w:szCs w:val="24"/>
          <w:lang w:eastAsia="ja-JP"/>
        </w:rPr>
        <w:t xml:space="preserve">material </w:t>
      </w:r>
      <w:r w:rsidR="00D179CE" w:rsidRPr="00D179CE">
        <w:rPr>
          <w:szCs w:val="24"/>
          <w:lang w:eastAsia="ja-JP"/>
        </w:rPr>
        <w:t>was performed by selecting 12 bottles among a batch of 1200 with random stratified sampling approach.</w:t>
      </w:r>
      <w:r w:rsidR="003D7DAA" w:rsidRPr="00D179CE">
        <w:rPr>
          <w:szCs w:val="24"/>
          <w:lang w:eastAsia="ja-JP"/>
        </w:rPr>
        <w:t xml:space="preserve"> </w:t>
      </w:r>
      <w:r w:rsidR="00D179CE" w:rsidRPr="00D179CE">
        <w:rPr>
          <w:szCs w:val="24"/>
          <w:lang w:eastAsia="ja-JP"/>
        </w:rPr>
        <w:t xml:space="preserve">The measurements were conducted with HR-ICPMS, and the data were evaluated with </w:t>
      </w:r>
      <w:r w:rsidR="003D7DAA" w:rsidRPr="00D179CE">
        <w:rPr>
          <w:szCs w:val="24"/>
          <w:lang w:eastAsia="ja-JP"/>
        </w:rPr>
        <w:t xml:space="preserve">ANOVA.  </w:t>
      </w:r>
      <w:r w:rsidR="00D179CE" w:rsidRPr="00D179CE">
        <w:rPr>
          <w:szCs w:val="24"/>
          <w:lang w:eastAsia="ja-JP"/>
        </w:rPr>
        <w:t xml:space="preserve">Between bottle homogeneity values for As, </w:t>
      </w:r>
      <w:proofErr w:type="spellStart"/>
      <w:r w:rsidR="00D179CE" w:rsidRPr="00D179CE">
        <w:rPr>
          <w:szCs w:val="24"/>
          <w:lang w:eastAsia="ja-JP"/>
        </w:rPr>
        <w:t>Cd</w:t>
      </w:r>
      <w:proofErr w:type="spellEnd"/>
      <w:r w:rsidR="00D179CE" w:rsidRPr="00D179CE">
        <w:rPr>
          <w:szCs w:val="24"/>
          <w:lang w:eastAsia="ja-JP"/>
        </w:rPr>
        <w:t xml:space="preserve">, Ni, </w:t>
      </w:r>
      <w:proofErr w:type="spellStart"/>
      <w:r w:rsidR="00D179CE" w:rsidRPr="00D179CE">
        <w:rPr>
          <w:szCs w:val="24"/>
          <w:lang w:eastAsia="ja-JP"/>
        </w:rPr>
        <w:t>Pb</w:t>
      </w:r>
      <w:proofErr w:type="spellEnd"/>
      <w:r w:rsidR="00D179CE" w:rsidRPr="00D179CE">
        <w:rPr>
          <w:szCs w:val="24"/>
          <w:lang w:eastAsia="ja-JP"/>
        </w:rPr>
        <w:t xml:space="preserve"> and Se were determined as 0.34%, 0.43%, 0.90%, 0.30% and 0.79%, respectively.   </w:t>
      </w:r>
    </w:p>
    <w:p w:rsidR="008F6479" w:rsidRPr="00D179CE" w:rsidRDefault="008F6479" w:rsidP="00F76A8D">
      <w:pPr>
        <w:jc w:val="both"/>
        <w:rPr>
          <w:u w:val="single"/>
          <w:lang w:eastAsia="zh-HK"/>
        </w:rPr>
      </w:pPr>
    </w:p>
    <w:p w:rsidR="00F76A8D" w:rsidRPr="00D179CE" w:rsidRDefault="00D179CE" w:rsidP="00F76A8D">
      <w:r w:rsidRPr="00D179CE">
        <w:t xml:space="preserve">The </w:t>
      </w:r>
      <w:r>
        <w:t xml:space="preserve">stability of the material was tested for </w:t>
      </w:r>
      <w:r w:rsidR="00DE5A1E">
        <w:t xml:space="preserve">4 weeks at 40 °C and 60 </w:t>
      </w:r>
      <w:r w:rsidR="00DE5A1E" w:rsidRPr="00DE5A1E">
        <w:t>°</w:t>
      </w:r>
      <w:r w:rsidR="00DE5A1E">
        <w:t xml:space="preserve">C to check the stability during the transport. The results revealed no sign of significant change for any </w:t>
      </w:r>
      <w:proofErr w:type="spellStart"/>
      <w:r w:rsidR="00DE5A1E">
        <w:t>measurand</w:t>
      </w:r>
      <w:proofErr w:type="spellEnd"/>
      <w:r w:rsidR="00DE5A1E">
        <w:t xml:space="preserve"> for the test period. Long term stability tests are in progress, and the tests will be continued until result submission date.  </w:t>
      </w:r>
    </w:p>
    <w:p w:rsidR="00E11095" w:rsidRDefault="00E11095" w:rsidP="00E11095">
      <w:pPr>
        <w:rPr>
          <w:rFonts w:ascii="Times New Roman" w:hAnsi="Times New Roman"/>
          <w:b/>
        </w:rPr>
      </w:pPr>
    </w:p>
    <w:p w:rsidR="00DE5A1E" w:rsidRDefault="00E11095" w:rsidP="00005287">
      <w:pPr>
        <w:jc w:val="both"/>
      </w:pPr>
      <w:r w:rsidRPr="002308E3">
        <w:rPr>
          <w:szCs w:val="24"/>
          <w:lang w:eastAsia="ja-JP"/>
        </w:rPr>
        <w:t xml:space="preserve">Each participant will receive </w:t>
      </w:r>
      <w:r w:rsidR="003D7DAA" w:rsidRPr="002308E3">
        <w:rPr>
          <w:szCs w:val="24"/>
          <w:lang w:eastAsia="ja-JP"/>
        </w:rPr>
        <w:t>two</w:t>
      </w:r>
      <w:r w:rsidR="00796995" w:rsidRPr="002308E3">
        <w:rPr>
          <w:szCs w:val="24"/>
          <w:lang w:eastAsia="zh-HK"/>
        </w:rPr>
        <w:t xml:space="preserve"> </w:t>
      </w:r>
      <w:r w:rsidRPr="002308E3">
        <w:rPr>
          <w:szCs w:val="24"/>
          <w:lang w:eastAsia="ja-JP"/>
        </w:rPr>
        <w:t>sample bottle</w:t>
      </w:r>
      <w:r w:rsidR="00535704" w:rsidRPr="002308E3">
        <w:rPr>
          <w:szCs w:val="24"/>
          <w:lang w:eastAsia="ja-JP"/>
        </w:rPr>
        <w:t>s</w:t>
      </w:r>
      <w:r w:rsidRPr="002308E3">
        <w:rPr>
          <w:szCs w:val="24"/>
          <w:lang w:eastAsia="ja-JP"/>
        </w:rPr>
        <w:t xml:space="preserve"> containing approximately 100 </w:t>
      </w:r>
      <w:proofErr w:type="spellStart"/>
      <w:r w:rsidRPr="002308E3">
        <w:rPr>
          <w:szCs w:val="24"/>
          <w:lang w:eastAsia="ja-JP"/>
        </w:rPr>
        <w:t>mL</w:t>
      </w:r>
      <w:proofErr w:type="spellEnd"/>
      <w:r w:rsidRPr="002308E3">
        <w:rPr>
          <w:szCs w:val="24"/>
          <w:lang w:eastAsia="ja-JP"/>
        </w:rPr>
        <w:t xml:space="preserve"> of the </w:t>
      </w:r>
      <w:r w:rsidR="003D7DAA" w:rsidRPr="002308E3">
        <w:rPr>
          <w:szCs w:val="24"/>
          <w:lang w:eastAsia="ja-JP"/>
        </w:rPr>
        <w:t>river</w:t>
      </w:r>
      <w:r w:rsidRPr="002308E3">
        <w:rPr>
          <w:szCs w:val="24"/>
          <w:lang w:eastAsia="ja-JP"/>
        </w:rPr>
        <w:t xml:space="preserve"> water. </w:t>
      </w:r>
      <w:r w:rsidR="003D7DAA" w:rsidRPr="002308E3">
        <w:rPr>
          <w:szCs w:val="24"/>
          <w:lang w:eastAsia="ja-JP"/>
        </w:rPr>
        <w:t>T</w:t>
      </w:r>
      <w:r w:rsidRPr="002308E3">
        <w:rPr>
          <w:szCs w:val="24"/>
          <w:lang w:eastAsia="ja-JP"/>
        </w:rPr>
        <w:t xml:space="preserve">he </w:t>
      </w:r>
      <w:r w:rsidR="003D7DAA" w:rsidRPr="002308E3">
        <w:rPr>
          <w:szCs w:val="24"/>
          <w:lang w:eastAsia="ja-JP"/>
        </w:rPr>
        <w:t xml:space="preserve">sample receipt form is expected to be filled and returned to TUBITAK UME via e-mail once </w:t>
      </w:r>
      <w:r w:rsidR="009B4AE5">
        <w:rPr>
          <w:szCs w:val="24"/>
          <w:lang w:eastAsia="ja-JP"/>
        </w:rPr>
        <w:t>they</w:t>
      </w:r>
      <w:r w:rsidR="003D7DAA" w:rsidRPr="002308E3">
        <w:rPr>
          <w:szCs w:val="24"/>
          <w:lang w:eastAsia="ja-JP"/>
        </w:rPr>
        <w:t xml:space="preserve"> </w:t>
      </w:r>
      <w:r w:rsidR="00F6318A">
        <w:rPr>
          <w:szCs w:val="24"/>
          <w:lang w:eastAsia="ja-JP"/>
        </w:rPr>
        <w:t>are</w:t>
      </w:r>
      <w:r w:rsidR="003D7DAA" w:rsidRPr="002308E3">
        <w:rPr>
          <w:szCs w:val="24"/>
          <w:lang w:eastAsia="ja-JP"/>
        </w:rPr>
        <w:t xml:space="preserve"> received.</w:t>
      </w:r>
      <w:r w:rsidR="003D7DAA" w:rsidRPr="002308E3">
        <w:rPr>
          <w:szCs w:val="24"/>
        </w:rPr>
        <w:t xml:space="preserve"> It is recommended that the bottles are kept +4 </w:t>
      </w:r>
      <w:r w:rsidR="003D7DAA" w:rsidRPr="002308E3">
        <w:t>°C</w:t>
      </w:r>
      <w:r w:rsidR="005E3C44" w:rsidRPr="002308E3">
        <w:t xml:space="preserve"> until the sample preparations for measurements. </w:t>
      </w:r>
    </w:p>
    <w:p w:rsidR="00DE5A1E" w:rsidRDefault="00DE5A1E" w:rsidP="00005287">
      <w:pPr>
        <w:jc w:val="both"/>
      </w:pPr>
    </w:p>
    <w:p w:rsidR="00373506" w:rsidRPr="00DE5A1E" w:rsidRDefault="00373506" w:rsidP="00373506">
      <w:pPr>
        <w:numPr>
          <w:ilvl w:val="0"/>
          <w:numId w:val="1"/>
        </w:numPr>
        <w:rPr>
          <w:b/>
        </w:rPr>
      </w:pPr>
      <w:r>
        <w:rPr>
          <w:b/>
        </w:rPr>
        <w:t>Coordinating laboratories</w:t>
      </w:r>
    </w:p>
    <w:p w:rsidR="00373506" w:rsidRDefault="00373506" w:rsidP="00373506">
      <w:pPr>
        <w:jc w:val="both"/>
      </w:pPr>
    </w:p>
    <w:p w:rsidR="00373506" w:rsidRPr="002308E3" w:rsidRDefault="00373506" w:rsidP="00373506">
      <w:pPr>
        <w:jc w:val="both"/>
        <w:rPr>
          <w:szCs w:val="24"/>
          <w:lang w:eastAsia="ja-JP"/>
        </w:rPr>
      </w:pPr>
      <w:r>
        <w:rPr>
          <w:szCs w:val="24"/>
          <w:lang w:eastAsia="ja-JP"/>
        </w:rPr>
        <w:t xml:space="preserve">The comparison is co-organized by TUBITAK UME and IMBIH. TUBITAK UME, as the pilot laboratory, will conduct the preparation of samples, and homogeneity and stability tests. Distribution of samples will be performed by TUBITAK UME. IMBIH and TUBITAK UME will evaluate the participant results, and will draft the measurement reports. </w:t>
      </w:r>
    </w:p>
    <w:p w:rsidR="00373506" w:rsidRDefault="00373506" w:rsidP="00005287">
      <w:pPr>
        <w:jc w:val="both"/>
      </w:pPr>
    </w:p>
    <w:p w:rsidR="00DE5A1E" w:rsidRPr="00DE5A1E" w:rsidRDefault="00DE5A1E" w:rsidP="00DE5A1E">
      <w:pPr>
        <w:numPr>
          <w:ilvl w:val="0"/>
          <w:numId w:val="1"/>
        </w:numPr>
        <w:rPr>
          <w:b/>
        </w:rPr>
      </w:pPr>
      <w:proofErr w:type="spellStart"/>
      <w:r w:rsidRPr="00DE5A1E">
        <w:rPr>
          <w:b/>
        </w:rPr>
        <w:t>Measurands</w:t>
      </w:r>
      <w:proofErr w:type="spellEnd"/>
      <w:r w:rsidR="000613C0">
        <w:rPr>
          <w:b/>
        </w:rPr>
        <w:t xml:space="preserve"> and methods</w:t>
      </w:r>
    </w:p>
    <w:p w:rsidR="00DE5A1E" w:rsidRDefault="00DE5A1E" w:rsidP="00005287">
      <w:pPr>
        <w:jc w:val="both"/>
      </w:pPr>
    </w:p>
    <w:p w:rsidR="00E11095" w:rsidRPr="002308E3" w:rsidRDefault="00DE5A1E" w:rsidP="00005287">
      <w:pPr>
        <w:jc w:val="both"/>
        <w:rPr>
          <w:szCs w:val="24"/>
          <w:lang w:eastAsia="ja-JP"/>
        </w:rPr>
      </w:pPr>
      <w:r>
        <w:rPr>
          <w:szCs w:val="24"/>
          <w:lang w:eastAsia="ja-JP"/>
        </w:rPr>
        <w:t>The participants are required to measure</w:t>
      </w:r>
      <w:r w:rsidR="000613C0">
        <w:rPr>
          <w:szCs w:val="24"/>
          <w:lang w:eastAsia="ja-JP"/>
        </w:rPr>
        <w:t xml:space="preserve"> and report</w:t>
      </w:r>
      <w:r>
        <w:rPr>
          <w:szCs w:val="24"/>
          <w:lang w:eastAsia="ja-JP"/>
        </w:rPr>
        <w:t xml:space="preserve"> the mass fractions of the </w:t>
      </w:r>
      <w:r w:rsidR="000613C0">
        <w:rPr>
          <w:szCs w:val="24"/>
          <w:lang w:eastAsia="ja-JP"/>
        </w:rPr>
        <w:t xml:space="preserve">4 mandatory </w:t>
      </w:r>
      <w:r w:rsidR="000613C0">
        <w:rPr>
          <w:szCs w:val="24"/>
          <w:lang w:eastAsia="ja-JP"/>
        </w:rPr>
        <w:lastRenderedPageBreak/>
        <w:t>and 1 optional</w:t>
      </w:r>
      <w:r w:rsidR="00FC304F">
        <w:rPr>
          <w:szCs w:val="24"/>
          <w:lang w:eastAsia="ja-JP"/>
        </w:rPr>
        <w:t xml:space="preserve"> </w:t>
      </w:r>
      <w:proofErr w:type="spellStart"/>
      <w:r w:rsidR="00FC304F">
        <w:rPr>
          <w:szCs w:val="24"/>
          <w:lang w:eastAsia="ja-JP"/>
        </w:rPr>
        <w:t>measurands</w:t>
      </w:r>
      <w:proofErr w:type="spellEnd"/>
      <w:r w:rsidR="000613C0">
        <w:rPr>
          <w:szCs w:val="24"/>
          <w:lang w:eastAsia="ja-JP"/>
        </w:rPr>
        <w:t xml:space="preserve">. </w:t>
      </w:r>
      <w:r w:rsidR="0004097C" w:rsidRPr="002308E3">
        <w:rPr>
          <w:szCs w:val="24"/>
          <w:lang w:eastAsia="ja-JP"/>
        </w:rPr>
        <w:t xml:space="preserve">The </w:t>
      </w:r>
      <w:proofErr w:type="spellStart"/>
      <w:r w:rsidR="005E3C44" w:rsidRPr="002308E3">
        <w:rPr>
          <w:szCs w:val="24"/>
          <w:lang w:eastAsia="ja-JP"/>
        </w:rPr>
        <w:t>measurands</w:t>
      </w:r>
      <w:proofErr w:type="spellEnd"/>
      <w:r w:rsidR="0004097C" w:rsidRPr="002308E3">
        <w:rPr>
          <w:szCs w:val="24"/>
          <w:lang w:eastAsia="ja-JP"/>
        </w:rPr>
        <w:t xml:space="preserve"> and their expected mass fractions are listed in Table 1.</w:t>
      </w:r>
    </w:p>
    <w:p w:rsidR="0004097C" w:rsidRPr="00DE5A1E" w:rsidRDefault="0004097C" w:rsidP="00DE5A1E">
      <w:pPr>
        <w:jc w:val="center"/>
        <w:rPr>
          <w:szCs w:val="24"/>
          <w:lang w:eastAsia="ja-JP"/>
        </w:rPr>
      </w:pPr>
      <w:proofErr w:type="gramStart"/>
      <w:r w:rsidRPr="00DE5A1E">
        <w:rPr>
          <w:szCs w:val="24"/>
          <w:lang w:eastAsia="ja-JP"/>
        </w:rPr>
        <w:t>Table 1</w:t>
      </w:r>
      <w:r w:rsidR="005E3C44" w:rsidRPr="00DE5A1E">
        <w:rPr>
          <w:szCs w:val="24"/>
          <w:lang w:eastAsia="ja-JP"/>
        </w:rPr>
        <w:t>.</w:t>
      </w:r>
      <w:proofErr w:type="gramEnd"/>
      <w:r w:rsidR="005E3C44" w:rsidRPr="00DE5A1E">
        <w:rPr>
          <w:szCs w:val="24"/>
          <w:lang w:eastAsia="ja-JP"/>
        </w:rPr>
        <w:t xml:space="preserve"> </w:t>
      </w:r>
      <w:proofErr w:type="spellStart"/>
      <w:r w:rsidR="005E3C44" w:rsidRPr="00DE5A1E">
        <w:rPr>
          <w:szCs w:val="24"/>
          <w:lang w:eastAsia="ja-JP"/>
        </w:rPr>
        <w:t>Measurands</w:t>
      </w:r>
      <w:proofErr w:type="spellEnd"/>
      <w:r w:rsidR="005E3C44" w:rsidRPr="00DE5A1E">
        <w:rPr>
          <w:szCs w:val="24"/>
          <w:lang w:eastAsia="ja-JP"/>
        </w:rPr>
        <w:t xml:space="preserve"> </w:t>
      </w:r>
      <w:r w:rsidR="00A41F95" w:rsidRPr="00DE5A1E">
        <w:rPr>
          <w:szCs w:val="24"/>
          <w:lang w:eastAsia="ja-JP"/>
        </w:rPr>
        <w:t>and respective mass fraction ranges</w:t>
      </w:r>
    </w:p>
    <w:tbl>
      <w:tblPr>
        <w:tblW w:w="0" w:type="auto"/>
        <w:jc w:val="center"/>
        <w:tblInd w:w="108" w:type="dxa"/>
        <w:tblLook w:val="04A0"/>
      </w:tblPr>
      <w:tblGrid>
        <w:gridCol w:w="1985"/>
        <w:gridCol w:w="3827"/>
      </w:tblGrid>
      <w:tr w:rsidR="0004097C" w:rsidRPr="00DE5A1E" w:rsidTr="00DE5A1E">
        <w:trPr>
          <w:jc w:val="center"/>
        </w:trPr>
        <w:tc>
          <w:tcPr>
            <w:tcW w:w="1985" w:type="dxa"/>
            <w:tcBorders>
              <w:top w:val="single" w:sz="4" w:space="0" w:color="auto"/>
              <w:bottom w:val="single" w:sz="4" w:space="0" w:color="auto"/>
            </w:tcBorders>
            <w:shd w:val="clear" w:color="auto" w:fill="auto"/>
          </w:tcPr>
          <w:p w:rsidR="0004097C" w:rsidRPr="00DE5A1E" w:rsidRDefault="005E3C44" w:rsidP="005E3C44">
            <w:pPr>
              <w:jc w:val="center"/>
              <w:rPr>
                <w:rFonts w:cs="Arial"/>
              </w:rPr>
            </w:pPr>
            <w:proofErr w:type="spellStart"/>
            <w:r w:rsidRPr="00DE5A1E">
              <w:rPr>
                <w:rFonts w:cs="Arial"/>
              </w:rPr>
              <w:t>Measurand</w:t>
            </w:r>
            <w:proofErr w:type="spellEnd"/>
          </w:p>
        </w:tc>
        <w:tc>
          <w:tcPr>
            <w:tcW w:w="3827" w:type="dxa"/>
            <w:tcBorders>
              <w:top w:val="single" w:sz="4" w:space="0" w:color="auto"/>
              <w:bottom w:val="single" w:sz="4" w:space="0" w:color="auto"/>
            </w:tcBorders>
            <w:shd w:val="clear" w:color="auto" w:fill="auto"/>
          </w:tcPr>
          <w:p w:rsidR="0004097C" w:rsidRPr="00DE5A1E" w:rsidRDefault="0004097C" w:rsidP="005E3C44">
            <w:pPr>
              <w:jc w:val="center"/>
              <w:rPr>
                <w:rFonts w:cs="Arial"/>
              </w:rPr>
            </w:pPr>
            <w:r w:rsidRPr="00DE5A1E">
              <w:rPr>
                <w:rFonts w:cs="Arial"/>
              </w:rPr>
              <w:t>Expected mass fraction</w:t>
            </w:r>
            <w:r w:rsidR="005E3C44" w:rsidRPr="00DE5A1E">
              <w:rPr>
                <w:rFonts w:cs="Arial"/>
              </w:rPr>
              <w:t xml:space="preserve"> (µg/kg)</w:t>
            </w:r>
          </w:p>
        </w:tc>
      </w:tr>
      <w:tr w:rsidR="005E3C44" w:rsidRPr="00DE5A1E" w:rsidTr="00DE5A1E">
        <w:trPr>
          <w:jc w:val="center"/>
        </w:trPr>
        <w:tc>
          <w:tcPr>
            <w:tcW w:w="1985" w:type="dxa"/>
            <w:tcBorders>
              <w:top w:val="single" w:sz="4" w:space="0" w:color="auto"/>
            </w:tcBorders>
            <w:shd w:val="clear" w:color="auto" w:fill="auto"/>
            <w:vAlign w:val="center"/>
          </w:tcPr>
          <w:p w:rsidR="005E3C44" w:rsidRPr="00DE5A1E" w:rsidRDefault="005E3C44" w:rsidP="005E3C44">
            <w:pPr>
              <w:pStyle w:val="NormalWeb"/>
              <w:spacing w:before="0" w:beforeAutospacing="0" w:after="0" w:afterAutospacing="0"/>
              <w:rPr>
                <w:rFonts w:ascii="Calibri" w:hAnsi="Calibri" w:cs="Arial"/>
              </w:rPr>
            </w:pPr>
            <w:r w:rsidRPr="00DE5A1E">
              <w:rPr>
                <w:rFonts w:ascii="Calibri" w:eastAsia="Calibri" w:hAnsi="Calibri" w:cs="Arial"/>
                <w:color w:val="000000"/>
                <w:kern w:val="24"/>
              </w:rPr>
              <w:t>Arsenic</w:t>
            </w:r>
          </w:p>
        </w:tc>
        <w:tc>
          <w:tcPr>
            <w:tcW w:w="3827" w:type="dxa"/>
            <w:tcBorders>
              <w:top w:val="single" w:sz="4" w:space="0" w:color="auto"/>
            </w:tcBorders>
            <w:shd w:val="clear" w:color="auto" w:fill="auto"/>
            <w:vAlign w:val="center"/>
          </w:tcPr>
          <w:p w:rsidR="005E3C44" w:rsidRPr="00DE5A1E" w:rsidRDefault="005E3C44">
            <w:pPr>
              <w:pStyle w:val="NormalWeb"/>
              <w:spacing w:before="0" w:beforeAutospacing="0" w:after="0" w:afterAutospacing="0"/>
              <w:jc w:val="center"/>
              <w:rPr>
                <w:rFonts w:ascii="Calibri" w:hAnsi="Calibri" w:cs="Arial"/>
              </w:rPr>
            </w:pPr>
            <w:r w:rsidRPr="00DE5A1E">
              <w:rPr>
                <w:rFonts w:ascii="Calibri" w:eastAsia="Calibri" w:hAnsi="Calibri"/>
                <w:color w:val="000000"/>
                <w:kern w:val="24"/>
              </w:rPr>
              <w:t xml:space="preserve">2 – 20 </w:t>
            </w:r>
          </w:p>
        </w:tc>
      </w:tr>
      <w:tr w:rsidR="005E3C44" w:rsidRPr="00DE5A1E" w:rsidTr="00DE5A1E">
        <w:trPr>
          <w:jc w:val="center"/>
        </w:trPr>
        <w:tc>
          <w:tcPr>
            <w:tcW w:w="1985" w:type="dxa"/>
            <w:shd w:val="clear" w:color="auto" w:fill="auto"/>
            <w:vAlign w:val="center"/>
          </w:tcPr>
          <w:p w:rsidR="005E3C44" w:rsidRPr="00DE5A1E" w:rsidRDefault="005E3C44" w:rsidP="005E3C44">
            <w:pPr>
              <w:pStyle w:val="NormalWeb"/>
              <w:spacing w:before="0" w:beforeAutospacing="0" w:after="0" w:afterAutospacing="0"/>
              <w:rPr>
                <w:rFonts w:ascii="Calibri" w:hAnsi="Calibri" w:cs="Arial"/>
              </w:rPr>
            </w:pPr>
            <w:r w:rsidRPr="00DE5A1E">
              <w:rPr>
                <w:rFonts w:ascii="Calibri" w:eastAsia="Calibri" w:hAnsi="Calibri" w:cs="Arial"/>
                <w:color w:val="000000"/>
                <w:kern w:val="24"/>
              </w:rPr>
              <w:t>Cadmium</w:t>
            </w:r>
          </w:p>
        </w:tc>
        <w:tc>
          <w:tcPr>
            <w:tcW w:w="3827" w:type="dxa"/>
            <w:shd w:val="clear" w:color="auto" w:fill="auto"/>
            <w:vAlign w:val="center"/>
          </w:tcPr>
          <w:p w:rsidR="005E3C44" w:rsidRPr="00DE5A1E" w:rsidRDefault="005E3C44">
            <w:pPr>
              <w:pStyle w:val="NormalWeb"/>
              <w:spacing w:before="0" w:beforeAutospacing="0" w:after="0" w:afterAutospacing="0"/>
              <w:jc w:val="center"/>
              <w:rPr>
                <w:rFonts w:ascii="Calibri" w:hAnsi="Calibri" w:cs="Arial"/>
              </w:rPr>
            </w:pPr>
            <w:r w:rsidRPr="00DE5A1E">
              <w:rPr>
                <w:rFonts w:ascii="Calibri" w:eastAsia="Calibri" w:hAnsi="Calibri"/>
                <w:color w:val="000000"/>
                <w:kern w:val="24"/>
              </w:rPr>
              <w:t xml:space="preserve">0.1 – 5 </w:t>
            </w:r>
          </w:p>
        </w:tc>
      </w:tr>
      <w:tr w:rsidR="005E3C44" w:rsidRPr="00DE5A1E" w:rsidTr="00DE5A1E">
        <w:trPr>
          <w:jc w:val="center"/>
        </w:trPr>
        <w:tc>
          <w:tcPr>
            <w:tcW w:w="1985" w:type="dxa"/>
            <w:shd w:val="clear" w:color="auto" w:fill="auto"/>
            <w:vAlign w:val="center"/>
          </w:tcPr>
          <w:p w:rsidR="005E3C44" w:rsidRPr="00DE5A1E" w:rsidRDefault="005E3C44" w:rsidP="005E3C44">
            <w:pPr>
              <w:pStyle w:val="NormalWeb"/>
              <w:spacing w:before="0" w:beforeAutospacing="0" w:after="0" w:afterAutospacing="0"/>
              <w:rPr>
                <w:rFonts w:ascii="Calibri" w:hAnsi="Calibri" w:cs="Arial"/>
              </w:rPr>
            </w:pPr>
            <w:r w:rsidRPr="00DE5A1E">
              <w:rPr>
                <w:rFonts w:ascii="Calibri" w:eastAsia="Calibri" w:hAnsi="Calibri" w:cs="Arial"/>
                <w:color w:val="000000"/>
                <w:kern w:val="24"/>
              </w:rPr>
              <w:t>Nickel</w:t>
            </w:r>
          </w:p>
        </w:tc>
        <w:tc>
          <w:tcPr>
            <w:tcW w:w="3827" w:type="dxa"/>
            <w:shd w:val="clear" w:color="auto" w:fill="auto"/>
            <w:vAlign w:val="center"/>
          </w:tcPr>
          <w:p w:rsidR="005E3C44" w:rsidRPr="00DE5A1E" w:rsidRDefault="005E3C44">
            <w:pPr>
              <w:pStyle w:val="NormalWeb"/>
              <w:spacing w:before="0" w:beforeAutospacing="0" w:after="0" w:afterAutospacing="0"/>
              <w:jc w:val="center"/>
              <w:rPr>
                <w:rFonts w:ascii="Calibri" w:hAnsi="Calibri" w:cs="Arial"/>
              </w:rPr>
            </w:pPr>
            <w:r w:rsidRPr="00DE5A1E">
              <w:rPr>
                <w:rFonts w:ascii="Calibri" w:eastAsia="Calibri" w:hAnsi="Calibri"/>
                <w:color w:val="000000"/>
                <w:kern w:val="24"/>
              </w:rPr>
              <w:t xml:space="preserve">2 – 20 </w:t>
            </w:r>
          </w:p>
        </w:tc>
      </w:tr>
      <w:tr w:rsidR="005E3C44" w:rsidRPr="00DE5A1E" w:rsidTr="00DE5A1E">
        <w:trPr>
          <w:jc w:val="center"/>
        </w:trPr>
        <w:tc>
          <w:tcPr>
            <w:tcW w:w="1985" w:type="dxa"/>
            <w:shd w:val="clear" w:color="auto" w:fill="auto"/>
            <w:vAlign w:val="center"/>
          </w:tcPr>
          <w:p w:rsidR="005E3C44" w:rsidRPr="00DE5A1E" w:rsidRDefault="005E3C44" w:rsidP="005E3C44">
            <w:pPr>
              <w:pStyle w:val="NormalWeb"/>
              <w:spacing w:before="0" w:beforeAutospacing="0" w:after="0" w:afterAutospacing="0"/>
              <w:rPr>
                <w:rFonts w:ascii="Calibri" w:hAnsi="Calibri" w:cs="Arial"/>
              </w:rPr>
            </w:pPr>
            <w:r w:rsidRPr="00DE5A1E">
              <w:rPr>
                <w:rFonts w:ascii="Calibri" w:eastAsia="Calibri" w:hAnsi="Calibri" w:cs="Arial"/>
                <w:color w:val="000000"/>
                <w:kern w:val="24"/>
              </w:rPr>
              <w:t>Lead</w:t>
            </w:r>
          </w:p>
        </w:tc>
        <w:tc>
          <w:tcPr>
            <w:tcW w:w="3827" w:type="dxa"/>
            <w:shd w:val="clear" w:color="auto" w:fill="auto"/>
            <w:vAlign w:val="center"/>
          </w:tcPr>
          <w:p w:rsidR="005E3C44" w:rsidRPr="00DE5A1E" w:rsidRDefault="005E3C44">
            <w:pPr>
              <w:pStyle w:val="NormalWeb"/>
              <w:spacing w:before="0" w:beforeAutospacing="0" w:after="0" w:afterAutospacing="0"/>
              <w:jc w:val="center"/>
              <w:rPr>
                <w:rFonts w:ascii="Calibri" w:hAnsi="Calibri" w:cs="Arial"/>
              </w:rPr>
            </w:pPr>
            <w:r w:rsidRPr="00DE5A1E">
              <w:rPr>
                <w:rFonts w:ascii="Calibri" w:eastAsia="Calibri" w:hAnsi="Calibri"/>
                <w:color w:val="000000"/>
                <w:kern w:val="24"/>
              </w:rPr>
              <w:t xml:space="preserve">2 – 20 </w:t>
            </w:r>
          </w:p>
        </w:tc>
      </w:tr>
      <w:tr w:rsidR="005E3C44" w:rsidRPr="00DE5A1E" w:rsidTr="00DE5A1E">
        <w:trPr>
          <w:jc w:val="center"/>
        </w:trPr>
        <w:tc>
          <w:tcPr>
            <w:tcW w:w="1985" w:type="dxa"/>
            <w:tcBorders>
              <w:bottom w:val="single" w:sz="4" w:space="0" w:color="auto"/>
            </w:tcBorders>
            <w:shd w:val="clear" w:color="auto" w:fill="auto"/>
            <w:vAlign w:val="center"/>
          </w:tcPr>
          <w:p w:rsidR="005E3C44" w:rsidRPr="00DE5A1E" w:rsidRDefault="005E3C44" w:rsidP="00DE5A1E">
            <w:pPr>
              <w:pStyle w:val="NormalWeb"/>
              <w:spacing w:before="0" w:beforeAutospacing="0" w:after="0" w:afterAutospacing="0"/>
              <w:rPr>
                <w:rFonts w:ascii="Calibri" w:hAnsi="Calibri" w:cs="Arial"/>
              </w:rPr>
            </w:pPr>
            <w:r w:rsidRPr="00DE5A1E">
              <w:rPr>
                <w:rFonts w:ascii="Calibri" w:eastAsia="Calibri" w:hAnsi="Calibri" w:cs="Arial"/>
                <w:i/>
                <w:iCs/>
                <w:kern w:val="24"/>
              </w:rPr>
              <w:t>Selenium</w:t>
            </w:r>
            <w:r w:rsidR="00DE5A1E">
              <w:rPr>
                <w:rFonts w:ascii="Calibri" w:eastAsia="Calibri" w:hAnsi="Calibri" w:cs="Arial"/>
                <w:i/>
                <w:iCs/>
                <w:kern w:val="24"/>
              </w:rPr>
              <w:t>*</w:t>
            </w:r>
          </w:p>
        </w:tc>
        <w:tc>
          <w:tcPr>
            <w:tcW w:w="3827" w:type="dxa"/>
            <w:tcBorders>
              <w:bottom w:val="single" w:sz="4" w:space="0" w:color="auto"/>
            </w:tcBorders>
            <w:shd w:val="clear" w:color="auto" w:fill="auto"/>
            <w:vAlign w:val="center"/>
          </w:tcPr>
          <w:p w:rsidR="005E3C44" w:rsidRPr="00DE5A1E" w:rsidRDefault="005E3C44">
            <w:pPr>
              <w:pStyle w:val="NormalWeb"/>
              <w:spacing w:before="0" w:beforeAutospacing="0" w:after="0" w:afterAutospacing="0"/>
              <w:jc w:val="center"/>
              <w:rPr>
                <w:rFonts w:ascii="Calibri" w:hAnsi="Calibri" w:cs="Arial"/>
              </w:rPr>
            </w:pPr>
            <w:r w:rsidRPr="00DE5A1E">
              <w:rPr>
                <w:rFonts w:ascii="Calibri" w:eastAsia="Calibri" w:hAnsi="Calibri"/>
                <w:i/>
                <w:iCs/>
                <w:kern w:val="24"/>
              </w:rPr>
              <w:t xml:space="preserve">2 – 20 </w:t>
            </w:r>
          </w:p>
        </w:tc>
      </w:tr>
    </w:tbl>
    <w:p w:rsidR="003D4637" w:rsidRPr="00DE5A1E" w:rsidRDefault="00DE5A1E" w:rsidP="00DE5A1E">
      <w:pPr>
        <w:ind w:left="1701"/>
        <w:jc w:val="both"/>
        <w:rPr>
          <w:sz w:val="22"/>
          <w:lang w:eastAsia="zh-HK"/>
        </w:rPr>
      </w:pPr>
      <w:r w:rsidRPr="00DE5A1E">
        <w:rPr>
          <w:rFonts w:eastAsia="Calibri" w:cs="Arial"/>
          <w:i/>
          <w:iCs/>
          <w:kern w:val="24"/>
          <w:sz w:val="22"/>
        </w:rPr>
        <w:t>*</w:t>
      </w:r>
      <w:r w:rsidRPr="00DE5A1E">
        <w:rPr>
          <w:sz w:val="22"/>
          <w:lang w:eastAsia="zh-HK"/>
        </w:rPr>
        <w:t>Optional</w:t>
      </w:r>
    </w:p>
    <w:p w:rsidR="00A424EC" w:rsidRDefault="00A424EC" w:rsidP="00005287">
      <w:pPr>
        <w:jc w:val="both"/>
        <w:rPr>
          <w:rFonts w:ascii="Times New Roman" w:hAnsi="Times New Roman"/>
          <w:b/>
        </w:rPr>
      </w:pPr>
    </w:p>
    <w:p w:rsidR="000613C0" w:rsidRDefault="000613C0" w:rsidP="00005287">
      <w:pPr>
        <w:jc w:val="both"/>
      </w:pPr>
      <w:r>
        <w:t>T</w:t>
      </w:r>
      <w:r w:rsidRPr="009976F8">
        <w:t>he participants can use the method of their choice.</w:t>
      </w:r>
    </w:p>
    <w:p w:rsidR="000613C0" w:rsidRPr="000613C0" w:rsidRDefault="000613C0" w:rsidP="00005287">
      <w:pPr>
        <w:jc w:val="both"/>
        <w:rPr>
          <w:b/>
        </w:rPr>
      </w:pPr>
    </w:p>
    <w:p w:rsidR="000613C0" w:rsidRPr="001C5C11" w:rsidRDefault="000613C0" w:rsidP="000613C0">
      <w:pPr>
        <w:numPr>
          <w:ilvl w:val="0"/>
          <w:numId w:val="1"/>
        </w:numPr>
        <w:jc w:val="both"/>
        <w:rPr>
          <w:b/>
          <w:bCs/>
        </w:rPr>
      </w:pPr>
      <w:r w:rsidRPr="001C5C11">
        <w:rPr>
          <w:b/>
        </w:rPr>
        <w:t xml:space="preserve">Reporting and submission of results </w:t>
      </w:r>
    </w:p>
    <w:p w:rsidR="000613C0" w:rsidRDefault="000613C0" w:rsidP="000613C0">
      <w:pPr>
        <w:jc w:val="both"/>
        <w:rPr>
          <w:b/>
        </w:rPr>
      </w:pPr>
    </w:p>
    <w:p w:rsidR="003E68C3" w:rsidRDefault="000613C0" w:rsidP="003E68C3">
      <w:pPr>
        <w:tabs>
          <w:tab w:val="left" w:pos="567"/>
          <w:tab w:val="left" w:pos="1985"/>
        </w:tabs>
        <w:jc w:val="both"/>
      </w:pPr>
      <w:r>
        <w:t xml:space="preserve">A reporting form will be provided to participants after test materials are distributed. Each participant will be expected to report individual results, detailed uncertainty </w:t>
      </w:r>
      <w:r w:rsidR="003E68C3">
        <w:t>budget, details about the method used, etc. A</w:t>
      </w:r>
      <w:r w:rsidR="003E68C3" w:rsidRPr="009976F8">
        <w:t>t least 3 results from each of the two bottles</w:t>
      </w:r>
      <w:r w:rsidR="003E68C3">
        <w:t xml:space="preserve"> will be expected</w:t>
      </w:r>
      <w:r w:rsidR="003E68C3" w:rsidRPr="009976F8">
        <w:t xml:space="preserve"> for each </w:t>
      </w:r>
      <w:proofErr w:type="spellStart"/>
      <w:r w:rsidR="003E68C3" w:rsidRPr="009976F8">
        <w:t>measurand</w:t>
      </w:r>
      <w:proofErr w:type="spellEnd"/>
      <w:r w:rsidR="003E68C3" w:rsidRPr="009976F8">
        <w:t xml:space="preserve">. All analytical calibrations should be performed using </w:t>
      </w:r>
      <w:proofErr w:type="spellStart"/>
      <w:r w:rsidR="003E68C3" w:rsidRPr="009976F8">
        <w:t>metrologically</w:t>
      </w:r>
      <w:proofErr w:type="spellEnd"/>
      <w:r w:rsidR="003E68C3" w:rsidRPr="009976F8">
        <w:t xml:space="preserve"> traceable standards. </w:t>
      </w:r>
    </w:p>
    <w:p w:rsidR="003E68C3" w:rsidRDefault="003E68C3" w:rsidP="000613C0">
      <w:pPr>
        <w:jc w:val="both"/>
      </w:pPr>
    </w:p>
    <w:p w:rsidR="00EE359A" w:rsidRDefault="00EE359A" w:rsidP="000613C0">
      <w:pPr>
        <w:jc w:val="both"/>
        <w:rPr>
          <w:bCs/>
        </w:rPr>
      </w:pPr>
      <w:r w:rsidRPr="009976F8">
        <w:t xml:space="preserve">Reference value for each </w:t>
      </w:r>
      <w:proofErr w:type="spellStart"/>
      <w:r w:rsidRPr="009976F8">
        <w:t>measurand</w:t>
      </w:r>
      <w:proofErr w:type="spellEnd"/>
      <w:r w:rsidRPr="009976F8">
        <w:t xml:space="preserve"> will be either the mean or </w:t>
      </w:r>
      <w:r w:rsidRPr="009976F8">
        <w:rPr>
          <w:lang w:eastAsia="zh-HK"/>
        </w:rPr>
        <w:t>the</w:t>
      </w:r>
      <w:r w:rsidRPr="009976F8">
        <w:t xml:space="preserve"> median of the submitted </w:t>
      </w:r>
      <w:r w:rsidR="009C1CFD">
        <w:t xml:space="preserve">Supplementary comparison </w:t>
      </w:r>
      <w:r w:rsidRPr="009976F8">
        <w:t xml:space="preserve">data. </w:t>
      </w:r>
      <w:r w:rsidRPr="009976F8">
        <w:rPr>
          <w:bCs/>
        </w:rPr>
        <w:t>If any participant submit</w:t>
      </w:r>
      <w:r w:rsidR="000613C0">
        <w:rPr>
          <w:bCs/>
        </w:rPr>
        <w:t xml:space="preserve">s </w:t>
      </w:r>
      <w:r w:rsidRPr="009976F8">
        <w:rPr>
          <w:bCs/>
        </w:rPr>
        <w:t>results by multiple methods, the result with the smallest uncertainty will be chose</w:t>
      </w:r>
      <w:r w:rsidRPr="009976F8">
        <w:rPr>
          <w:bCs/>
          <w:lang w:eastAsia="ja-JP"/>
        </w:rPr>
        <w:t>n</w:t>
      </w:r>
      <w:r w:rsidRPr="009976F8">
        <w:rPr>
          <w:bCs/>
        </w:rPr>
        <w:t xml:space="preserve"> </w:t>
      </w:r>
      <w:r w:rsidRPr="009976F8">
        <w:rPr>
          <w:bCs/>
          <w:lang w:eastAsia="zh-HK"/>
        </w:rPr>
        <w:t>for the</w:t>
      </w:r>
      <w:r w:rsidRPr="009976F8">
        <w:rPr>
          <w:bCs/>
        </w:rPr>
        <w:t xml:space="preserve"> calculat</w:t>
      </w:r>
      <w:r w:rsidRPr="009976F8">
        <w:rPr>
          <w:bCs/>
          <w:lang w:eastAsia="zh-HK"/>
        </w:rPr>
        <w:t>ion of</w:t>
      </w:r>
      <w:r w:rsidRPr="009976F8">
        <w:rPr>
          <w:bCs/>
        </w:rPr>
        <w:t xml:space="preserve"> the reference value.</w:t>
      </w:r>
      <w:r w:rsidR="000613C0">
        <w:rPr>
          <w:bCs/>
        </w:rPr>
        <w:t xml:space="preserve"> </w:t>
      </w:r>
      <w:r w:rsidR="0092692B">
        <w:rPr>
          <w:bCs/>
        </w:rPr>
        <w:t>Results from participants of pilot study will not be used for reference value</w:t>
      </w:r>
      <w:r w:rsidR="00FC304F">
        <w:rPr>
          <w:bCs/>
        </w:rPr>
        <w:t xml:space="preserve"> determination</w:t>
      </w:r>
      <w:r w:rsidR="0092692B">
        <w:rPr>
          <w:bCs/>
        </w:rPr>
        <w:t>.</w:t>
      </w:r>
    </w:p>
    <w:p w:rsidR="000613C0" w:rsidRPr="009976F8" w:rsidRDefault="000613C0" w:rsidP="00A424EC">
      <w:pPr>
        <w:tabs>
          <w:tab w:val="left" w:pos="567"/>
          <w:tab w:val="left" w:pos="1985"/>
        </w:tabs>
        <w:jc w:val="both"/>
      </w:pPr>
    </w:p>
    <w:p w:rsidR="001A51EE" w:rsidRPr="009976F8" w:rsidRDefault="00EE359A" w:rsidP="00A424EC">
      <w:pPr>
        <w:tabs>
          <w:tab w:val="left" w:pos="567"/>
          <w:tab w:val="left" w:pos="1985"/>
        </w:tabs>
        <w:jc w:val="both"/>
      </w:pPr>
      <w:r w:rsidRPr="009976F8">
        <w:rPr>
          <w:szCs w:val="24"/>
        </w:rPr>
        <w:t>All participants in EURAMET.QM-S</w:t>
      </w:r>
      <w:r w:rsidR="000E419E">
        <w:rPr>
          <w:szCs w:val="24"/>
        </w:rPr>
        <w:t>11</w:t>
      </w:r>
      <w:r w:rsidRPr="009976F8">
        <w:rPr>
          <w:szCs w:val="24"/>
        </w:rPr>
        <w:t xml:space="preserve"> are required to submit a Core Capability Table for the measurement technique they use. Forms of appropriate Core Capability Table are available at CCQM-IAWG website.  </w:t>
      </w:r>
    </w:p>
    <w:p w:rsidR="00A424EC" w:rsidRPr="001C5C11" w:rsidRDefault="00A424EC" w:rsidP="0045648B">
      <w:pPr>
        <w:rPr>
          <w:b/>
        </w:rPr>
      </w:pPr>
    </w:p>
    <w:p w:rsidR="0045648B" w:rsidRPr="001C5C11" w:rsidRDefault="003E68C3" w:rsidP="00284F51">
      <w:pPr>
        <w:numPr>
          <w:ilvl w:val="0"/>
          <w:numId w:val="1"/>
        </w:numPr>
        <w:rPr>
          <w:b/>
        </w:rPr>
      </w:pPr>
      <w:r w:rsidRPr="001C5C11">
        <w:rPr>
          <w:b/>
        </w:rPr>
        <w:t>S</w:t>
      </w:r>
      <w:r w:rsidR="00005287" w:rsidRPr="001C5C11">
        <w:rPr>
          <w:b/>
        </w:rPr>
        <w:t>chedule</w:t>
      </w:r>
    </w:p>
    <w:p w:rsidR="00005287" w:rsidRPr="001C5C11" w:rsidRDefault="00005287" w:rsidP="000F39D5">
      <w:pPr>
        <w:ind w:left="360"/>
        <w:rPr>
          <w:b/>
        </w:rPr>
      </w:pPr>
    </w:p>
    <w:p w:rsidR="00005287" w:rsidRPr="001C5C11" w:rsidRDefault="000F39D5" w:rsidP="00AE7D2D">
      <w:pPr>
        <w:jc w:val="both"/>
      </w:pPr>
      <w:r w:rsidRPr="001C5C11">
        <w:t>Ju</w:t>
      </w:r>
      <w:r w:rsidR="003E68C3" w:rsidRPr="001C5C11">
        <w:t>ne</w:t>
      </w:r>
      <w:r w:rsidR="001C5C11">
        <w:t xml:space="preserve"> 1</w:t>
      </w:r>
      <w:r w:rsidR="00F92989">
        <w:t>5</w:t>
      </w:r>
      <w:r w:rsidR="001C5C11">
        <w:t>,</w:t>
      </w:r>
      <w:r w:rsidRPr="001C5C11">
        <w:t xml:space="preserve"> 201</w:t>
      </w:r>
      <w:r w:rsidR="003E68C3" w:rsidRPr="001C5C11">
        <w:t>7</w:t>
      </w:r>
      <w:r w:rsidR="00005287" w:rsidRPr="001C5C11">
        <w:tab/>
      </w:r>
      <w:r w:rsidR="00005287" w:rsidRPr="001C5C11">
        <w:tab/>
      </w:r>
      <w:r w:rsidR="00AE7D2D">
        <w:tab/>
      </w:r>
      <w:r w:rsidR="003E68C3" w:rsidRPr="001C5C11">
        <w:t>R</w:t>
      </w:r>
      <w:r w:rsidR="00005287" w:rsidRPr="001C5C11">
        <w:t>egistration</w:t>
      </w:r>
      <w:r w:rsidR="003E68C3" w:rsidRPr="001C5C11">
        <w:t xml:space="preserve"> deadline</w:t>
      </w:r>
    </w:p>
    <w:p w:rsidR="00005287" w:rsidRPr="001C5C11" w:rsidRDefault="003E68C3" w:rsidP="00AE7D2D">
      <w:pPr>
        <w:jc w:val="both"/>
        <w:rPr>
          <w:u w:val="single"/>
        </w:rPr>
      </w:pPr>
      <w:r w:rsidRPr="001C5C11">
        <w:t>June/July</w:t>
      </w:r>
      <w:r w:rsidR="000F39D5" w:rsidRPr="001C5C11">
        <w:t xml:space="preserve"> 201</w:t>
      </w:r>
      <w:r w:rsidRPr="001C5C11">
        <w:t>7</w:t>
      </w:r>
      <w:r w:rsidR="00005287" w:rsidRPr="001C5C11">
        <w:tab/>
      </w:r>
      <w:r w:rsidRPr="001C5C11">
        <w:tab/>
      </w:r>
      <w:r w:rsidR="00005287" w:rsidRPr="001C5C11">
        <w:t>Distribution of samples</w:t>
      </w:r>
    </w:p>
    <w:p w:rsidR="00005287" w:rsidRPr="001C5C11" w:rsidRDefault="003E68C3" w:rsidP="00AE7D2D">
      <w:pPr>
        <w:jc w:val="both"/>
        <w:rPr>
          <w:u w:val="single"/>
        </w:rPr>
      </w:pPr>
      <w:r w:rsidRPr="001C5C11">
        <w:t>November</w:t>
      </w:r>
      <w:r w:rsidR="001C5C11">
        <w:t xml:space="preserve"> 30,</w:t>
      </w:r>
      <w:r w:rsidR="000F39D5" w:rsidRPr="001C5C11">
        <w:t xml:space="preserve"> 201</w:t>
      </w:r>
      <w:r w:rsidRPr="001C5C11">
        <w:t>7</w:t>
      </w:r>
      <w:r w:rsidR="00005287" w:rsidRPr="001C5C11">
        <w:tab/>
      </w:r>
      <w:r w:rsidR="001C5C11" w:rsidRPr="001C5C11">
        <w:t>Results submission d</w:t>
      </w:r>
      <w:r w:rsidR="00005287" w:rsidRPr="001C5C11">
        <w:t xml:space="preserve">eadline </w:t>
      </w:r>
    </w:p>
    <w:p w:rsidR="00005287" w:rsidRPr="001C5C11" w:rsidRDefault="001C5C11" w:rsidP="00AE7D2D">
      <w:pPr>
        <w:jc w:val="both"/>
      </w:pPr>
      <w:r w:rsidRPr="001C5C11">
        <w:t>February</w:t>
      </w:r>
      <w:r w:rsidR="000F39D5" w:rsidRPr="001C5C11">
        <w:t xml:space="preserve"> </w:t>
      </w:r>
      <w:r w:rsidR="009C1CFD" w:rsidRPr="001C5C11">
        <w:t>201</w:t>
      </w:r>
      <w:r w:rsidR="009C1CFD">
        <w:t>8</w:t>
      </w:r>
      <w:r w:rsidR="00005287" w:rsidRPr="001C5C11">
        <w:tab/>
      </w:r>
      <w:r w:rsidR="00005287" w:rsidRPr="001C5C11">
        <w:tab/>
      </w:r>
      <w:r w:rsidR="00AE7D2D">
        <w:tab/>
      </w:r>
      <w:r w:rsidR="00005287" w:rsidRPr="001C5C11">
        <w:t xml:space="preserve">Presentation of results at the </w:t>
      </w:r>
      <w:r w:rsidRPr="001C5C11">
        <w:t>EURAMET TC-MC SCIA</w:t>
      </w:r>
      <w:r w:rsidR="00005287" w:rsidRPr="001C5C11">
        <w:t xml:space="preserve"> Meeting </w:t>
      </w:r>
    </w:p>
    <w:p w:rsidR="001C5C11" w:rsidRPr="001C5C11" w:rsidRDefault="001C5C11" w:rsidP="00AE7D2D">
      <w:pPr>
        <w:jc w:val="both"/>
      </w:pPr>
      <w:r w:rsidRPr="001C5C11">
        <w:t>April 201</w:t>
      </w:r>
      <w:r w:rsidR="00FC304F">
        <w:t>8</w:t>
      </w:r>
      <w:r w:rsidRPr="001C5C11">
        <w:tab/>
      </w:r>
      <w:r w:rsidRPr="001C5C11">
        <w:tab/>
      </w:r>
      <w:r w:rsidRPr="001C5C11">
        <w:tab/>
        <w:t xml:space="preserve">Presentation of results at the CCQM-IAWG Meeting </w:t>
      </w:r>
    </w:p>
    <w:p w:rsidR="003D4637" w:rsidRDefault="003D4637" w:rsidP="00F53C51">
      <w:pPr>
        <w:jc w:val="both"/>
        <w:rPr>
          <w:rFonts w:ascii="Times New Roman" w:hAnsi="Times New Roman"/>
          <w:b/>
          <w:lang w:eastAsia="zh-HK"/>
        </w:rPr>
      </w:pPr>
    </w:p>
    <w:p w:rsidR="009C1CFD" w:rsidRDefault="009C1CFD" w:rsidP="00F53C51">
      <w:pPr>
        <w:jc w:val="both"/>
        <w:rPr>
          <w:rFonts w:ascii="Times New Roman" w:hAnsi="Times New Roman"/>
          <w:b/>
          <w:lang w:eastAsia="zh-HK"/>
        </w:rPr>
      </w:pPr>
    </w:p>
    <w:p w:rsidR="009C1CFD" w:rsidRDefault="009C1CFD" w:rsidP="00F53C51">
      <w:pPr>
        <w:jc w:val="both"/>
        <w:rPr>
          <w:rFonts w:ascii="Times New Roman" w:hAnsi="Times New Roman"/>
          <w:b/>
          <w:lang w:eastAsia="zh-HK"/>
        </w:rPr>
      </w:pPr>
    </w:p>
    <w:p w:rsidR="00211B88" w:rsidRPr="001C5C11" w:rsidRDefault="00211B88" w:rsidP="00211B88">
      <w:pPr>
        <w:numPr>
          <w:ilvl w:val="0"/>
          <w:numId w:val="1"/>
        </w:numPr>
        <w:rPr>
          <w:b/>
        </w:rPr>
      </w:pPr>
      <w:r w:rsidRPr="001C5C11">
        <w:rPr>
          <w:b/>
        </w:rPr>
        <w:t>Participants</w:t>
      </w:r>
    </w:p>
    <w:p w:rsidR="006B42F0" w:rsidRPr="001C5C11" w:rsidRDefault="006B42F0" w:rsidP="00F53C51">
      <w:pPr>
        <w:jc w:val="both"/>
        <w:rPr>
          <w:lang w:eastAsia="zh-HK"/>
        </w:rPr>
      </w:pPr>
    </w:p>
    <w:p w:rsidR="00211B88" w:rsidRPr="001C5C11" w:rsidRDefault="00F53C51" w:rsidP="001C5C11">
      <w:pPr>
        <w:jc w:val="both"/>
      </w:pPr>
      <w:r w:rsidRPr="001C5C11">
        <w:rPr>
          <w:rFonts w:eastAsia="MS Mincho"/>
          <w:lang w:eastAsia="ja-JP"/>
        </w:rPr>
        <w:t>Participa</w:t>
      </w:r>
      <w:r w:rsidR="00D4606A" w:rsidRPr="001C5C11">
        <w:rPr>
          <w:rFonts w:eastAsia="MS Mincho"/>
          <w:lang w:eastAsia="ja-JP"/>
        </w:rPr>
        <w:t>tion</w:t>
      </w:r>
      <w:r w:rsidRPr="001C5C11">
        <w:rPr>
          <w:rFonts w:eastAsia="MS Mincho"/>
          <w:lang w:eastAsia="ja-JP"/>
        </w:rPr>
        <w:t xml:space="preserve"> </w:t>
      </w:r>
      <w:r w:rsidR="00EE359A" w:rsidRPr="001C5C11">
        <w:rPr>
          <w:rFonts w:eastAsia="MS Mincho"/>
          <w:lang w:eastAsia="ja-JP"/>
        </w:rPr>
        <w:t xml:space="preserve">to EURAMET Supplementary comparison </w:t>
      </w:r>
      <w:r w:rsidRPr="001C5C11">
        <w:rPr>
          <w:rFonts w:eastAsia="MS Mincho"/>
          <w:lang w:eastAsia="ja-JP"/>
        </w:rPr>
        <w:t xml:space="preserve">is open to all interested NMIs or </w:t>
      </w:r>
      <w:proofErr w:type="spellStart"/>
      <w:r w:rsidR="00EE359A" w:rsidRPr="001C5C11">
        <w:rPr>
          <w:rFonts w:eastAsia="MS Mincho"/>
          <w:lang w:eastAsia="ja-JP"/>
        </w:rPr>
        <w:t>DIs.</w:t>
      </w:r>
      <w:proofErr w:type="spellEnd"/>
      <w:r w:rsidRPr="001C5C11">
        <w:rPr>
          <w:rFonts w:eastAsia="MS Mincho"/>
          <w:lang w:eastAsia="ja-JP"/>
        </w:rPr>
        <w:t xml:space="preserve">  </w:t>
      </w:r>
      <w:r w:rsidR="00EE359A" w:rsidRPr="001C5C11">
        <w:rPr>
          <w:rFonts w:eastAsia="MS Mincho"/>
          <w:lang w:eastAsia="ja-JP"/>
        </w:rPr>
        <w:t>Any other institutions or laboratories may participate in t</w:t>
      </w:r>
      <w:r w:rsidR="001C5C11">
        <w:rPr>
          <w:rFonts w:eastAsia="MS Mincho"/>
          <w:lang w:eastAsia="ja-JP"/>
        </w:rPr>
        <w:t>he pilot study with approval.</w:t>
      </w:r>
    </w:p>
    <w:p w:rsidR="00A424EC" w:rsidRDefault="00A424EC" w:rsidP="00F53C51">
      <w:pPr>
        <w:jc w:val="both"/>
        <w:rPr>
          <w:rFonts w:ascii="Times New Roman" w:hAnsi="Times New Roman"/>
          <w:b/>
          <w:lang w:eastAsia="zh-HK"/>
        </w:rPr>
      </w:pPr>
    </w:p>
    <w:p w:rsidR="00B63886" w:rsidRPr="001C5C11" w:rsidRDefault="00B63886" w:rsidP="004C6368">
      <w:pPr>
        <w:widowControl/>
        <w:numPr>
          <w:ilvl w:val="0"/>
          <w:numId w:val="1"/>
        </w:numPr>
        <w:jc w:val="both"/>
        <w:rPr>
          <w:b/>
          <w:lang w:val="fr-FR"/>
        </w:rPr>
      </w:pPr>
      <w:r w:rsidRPr="001C5C11">
        <w:rPr>
          <w:b/>
        </w:rPr>
        <w:t>Registration</w:t>
      </w:r>
    </w:p>
    <w:p w:rsidR="006B42F0" w:rsidRPr="001C5C11" w:rsidRDefault="006B42F0" w:rsidP="00B63886">
      <w:pPr>
        <w:widowControl/>
        <w:jc w:val="both"/>
        <w:rPr>
          <w:lang w:eastAsia="zh-HK"/>
        </w:rPr>
      </w:pPr>
    </w:p>
    <w:p w:rsidR="00B63886" w:rsidRPr="001C5C11" w:rsidRDefault="0013776E" w:rsidP="00B63886">
      <w:pPr>
        <w:widowControl/>
        <w:jc w:val="both"/>
        <w:rPr>
          <w:b/>
          <w:lang w:val="fr-FR" w:eastAsia="zh-HK"/>
        </w:rPr>
      </w:pPr>
      <w:r w:rsidRPr="001C5C11">
        <w:rPr>
          <w:lang w:eastAsia="zh-HK"/>
        </w:rPr>
        <w:t>Please</w:t>
      </w:r>
      <w:r w:rsidR="00E45F00" w:rsidRPr="001C5C11">
        <w:rPr>
          <w:lang w:eastAsia="zh-HK"/>
        </w:rPr>
        <w:t xml:space="preserve"> complete and</w:t>
      </w:r>
      <w:r w:rsidRPr="001C5C11">
        <w:rPr>
          <w:lang w:eastAsia="zh-HK"/>
        </w:rPr>
        <w:t xml:space="preserve"> return the </w:t>
      </w:r>
      <w:r w:rsidR="001C5C11">
        <w:rPr>
          <w:lang w:eastAsia="zh-HK"/>
        </w:rPr>
        <w:t xml:space="preserve">enclosed </w:t>
      </w:r>
      <w:r w:rsidRPr="001C5C11">
        <w:rPr>
          <w:lang w:eastAsia="zh-HK"/>
        </w:rPr>
        <w:t>registration</w:t>
      </w:r>
      <w:r w:rsidR="00B63886" w:rsidRPr="001C5C11">
        <w:t xml:space="preserve"> form</w:t>
      </w:r>
      <w:r w:rsidRPr="001C5C11">
        <w:rPr>
          <w:lang w:eastAsia="zh-HK"/>
        </w:rPr>
        <w:t>s</w:t>
      </w:r>
      <w:r w:rsidR="00B63886" w:rsidRPr="001C5C11">
        <w:t xml:space="preserve"> to</w:t>
      </w:r>
      <w:r w:rsidR="001C5C11">
        <w:t xml:space="preserve"> </w:t>
      </w:r>
      <w:proofErr w:type="spellStart"/>
      <w:r w:rsidR="001C5C11">
        <w:t>Süleyman</w:t>
      </w:r>
      <w:proofErr w:type="spellEnd"/>
      <w:r w:rsidR="001C5C11">
        <w:t xml:space="preserve"> Z. Can (</w:t>
      </w:r>
      <w:hyperlink r:id="rId11" w:history="1">
        <w:r w:rsidR="001C5C11" w:rsidRPr="002D7DAE">
          <w:rPr>
            <w:rStyle w:val="Hyperlink"/>
          </w:rPr>
          <w:t>suleyman.can@tubitak.gov.tr</w:t>
        </w:r>
      </w:hyperlink>
      <w:r w:rsidR="001C5C11">
        <w:t xml:space="preserve">) </w:t>
      </w:r>
      <w:r w:rsidR="0092692B">
        <w:t xml:space="preserve">and Alper </w:t>
      </w:r>
      <w:proofErr w:type="spellStart"/>
      <w:r w:rsidR="0092692B">
        <w:t>Is</w:t>
      </w:r>
      <w:r w:rsidR="001C5C11">
        <w:t>leyen</w:t>
      </w:r>
      <w:proofErr w:type="spellEnd"/>
      <w:r w:rsidR="001C5C11">
        <w:t xml:space="preserve"> (</w:t>
      </w:r>
      <w:hyperlink r:id="rId12" w:history="1">
        <w:r w:rsidR="001C5C11" w:rsidRPr="002D7DAE">
          <w:rPr>
            <w:rStyle w:val="Hyperlink"/>
          </w:rPr>
          <w:t>alper.isleyen@tubitak.gov.tr</w:t>
        </w:r>
      </w:hyperlink>
      <w:r w:rsidR="001C5C11">
        <w:t>) no later than the registration deadline, 12 June 2017.</w:t>
      </w:r>
      <w:r w:rsidRPr="001C5C11">
        <w:rPr>
          <w:lang w:eastAsia="zh-HK"/>
        </w:rPr>
        <w:t xml:space="preserve"> </w:t>
      </w:r>
    </w:p>
    <w:p w:rsidR="004C6368" w:rsidRPr="001C5C11" w:rsidRDefault="004C6368" w:rsidP="0092692B">
      <w:pPr>
        <w:widowControl/>
        <w:jc w:val="both"/>
        <w:rPr>
          <w:b/>
          <w:lang w:val="fr-FR" w:eastAsia="zh-HK"/>
        </w:rPr>
      </w:pPr>
    </w:p>
    <w:p w:rsidR="00610933" w:rsidRPr="001C5C11" w:rsidRDefault="00610933" w:rsidP="003F7013">
      <w:pPr>
        <w:widowControl/>
        <w:jc w:val="both"/>
        <w:rPr>
          <w:lang w:eastAsia="zh-HK"/>
        </w:rPr>
      </w:pPr>
      <w:r w:rsidRPr="001C5C11">
        <w:rPr>
          <w:lang w:eastAsia="zh-HK"/>
        </w:rPr>
        <w:t>For enquiries, participants may contact the coordinating laborator</w:t>
      </w:r>
      <w:r w:rsidR="00373506">
        <w:rPr>
          <w:lang w:eastAsia="zh-HK"/>
        </w:rPr>
        <w:t>ies</w:t>
      </w:r>
      <w:r w:rsidRPr="001C5C11">
        <w:rPr>
          <w:lang w:eastAsia="zh-HK"/>
        </w:rPr>
        <w:t xml:space="preserve"> as follows:  </w:t>
      </w:r>
    </w:p>
    <w:p w:rsidR="007F15FB" w:rsidRPr="001C5C11" w:rsidRDefault="007F15FB" w:rsidP="007F15FB">
      <w:pPr>
        <w:ind w:firstLineChars="50" w:firstLine="120"/>
        <w:rPr>
          <w:szCs w:val="24"/>
        </w:rPr>
      </w:pPr>
    </w:p>
    <w:p w:rsidR="00373506" w:rsidRDefault="00373506" w:rsidP="0092692B">
      <w:pPr>
        <w:rPr>
          <w:szCs w:val="24"/>
        </w:rPr>
        <w:sectPr w:rsidR="00373506" w:rsidSect="00F55590">
          <w:footerReference w:type="default" r:id="rId13"/>
          <w:pgSz w:w="11906" w:h="16838"/>
          <w:pgMar w:top="1418" w:right="1418" w:bottom="1440" w:left="1418" w:header="851" w:footer="992" w:gutter="0"/>
          <w:pgNumType w:start="1"/>
          <w:cols w:space="425"/>
          <w:docGrid w:type="lines" w:linePitch="360"/>
        </w:sectPr>
      </w:pPr>
    </w:p>
    <w:p w:rsidR="00610933" w:rsidRDefault="00610933" w:rsidP="0092692B">
      <w:pPr>
        <w:rPr>
          <w:szCs w:val="24"/>
        </w:rPr>
      </w:pPr>
      <w:r w:rsidRPr="001C5C11">
        <w:rPr>
          <w:szCs w:val="24"/>
        </w:rPr>
        <w:lastRenderedPageBreak/>
        <w:t xml:space="preserve">Dr. </w:t>
      </w:r>
      <w:proofErr w:type="spellStart"/>
      <w:r w:rsidR="00FB6988" w:rsidRPr="001C5C11">
        <w:rPr>
          <w:szCs w:val="24"/>
        </w:rPr>
        <w:t>Süleyman</w:t>
      </w:r>
      <w:proofErr w:type="spellEnd"/>
      <w:r w:rsidR="00FB6988" w:rsidRPr="001C5C11">
        <w:rPr>
          <w:szCs w:val="24"/>
        </w:rPr>
        <w:t xml:space="preserve"> Z. CAN</w:t>
      </w:r>
    </w:p>
    <w:p w:rsidR="0092692B" w:rsidRDefault="0092692B" w:rsidP="0092692B">
      <w:pPr>
        <w:rPr>
          <w:szCs w:val="24"/>
        </w:rPr>
      </w:pPr>
      <w:r>
        <w:rPr>
          <w:szCs w:val="24"/>
        </w:rPr>
        <w:t>TUBITAK UME</w:t>
      </w:r>
    </w:p>
    <w:p w:rsidR="0092692B" w:rsidRDefault="0092692B" w:rsidP="0092692B">
      <w:pPr>
        <w:rPr>
          <w:szCs w:val="24"/>
        </w:rPr>
      </w:pPr>
      <w:proofErr w:type="spellStart"/>
      <w:r>
        <w:rPr>
          <w:szCs w:val="24"/>
        </w:rPr>
        <w:t>Baris</w:t>
      </w:r>
      <w:proofErr w:type="spellEnd"/>
      <w:r>
        <w:rPr>
          <w:szCs w:val="24"/>
        </w:rPr>
        <w:t xml:space="preserve"> </w:t>
      </w:r>
      <w:proofErr w:type="spellStart"/>
      <w:r>
        <w:rPr>
          <w:szCs w:val="24"/>
        </w:rPr>
        <w:t>Mah</w:t>
      </w:r>
      <w:proofErr w:type="spellEnd"/>
      <w:r>
        <w:rPr>
          <w:szCs w:val="24"/>
        </w:rPr>
        <w:t xml:space="preserve">. </w:t>
      </w:r>
      <w:proofErr w:type="spellStart"/>
      <w:proofErr w:type="gramStart"/>
      <w:r>
        <w:rPr>
          <w:szCs w:val="24"/>
        </w:rPr>
        <w:t>Dr.Zeki</w:t>
      </w:r>
      <w:proofErr w:type="spellEnd"/>
      <w:r>
        <w:rPr>
          <w:szCs w:val="24"/>
        </w:rPr>
        <w:t xml:space="preserve"> </w:t>
      </w:r>
      <w:proofErr w:type="spellStart"/>
      <w:r>
        <w:rPr>
          <w:szCs w:val="24"/>
        </w:rPr>
        <w:t>Acar</w:t>
      </w:r>
      <w:proofErr w:type="spellEnd"/>
      <w:r>
        <w:rPr>
          <w:szCs w:val="24"/>
        </w:rPr>
        <w:t xml:space="preserve"> Cad.</w:t>
      </w:r>
      <w:proofErr w:type="gramEnd"/>
      <w:r>
        <w:rPr>
          <w:szCs w:val="24"/>
        </w:rPr>
        <w:t xml:space="preserve"> No</w:t>
      </w:r>
      <w:proofErr w:type="gramStart"/>
      <w:r>
        <w:rPr>
          <w:szCs w:val="24"/>
        </w:rPr>
        <w:t>:1</w:t>
      </w:r>
      <w:proofErr w:type="gramEnd"/>
    </w:p>
    <w:p w:rsidR="0092692B" w:rsidRDefault="0092692B" w:rsidP="0092692B">
      <w:pPr>
        <w:rPr>
          <w:szCs w:val="24"/>
        </w:rPr>
      </w:pPr>
      <w:r>
        <w:rPr>
          <w:szCs w:val="24"/>
        </w:rPr>
        <w:t xml:space="preserve">41470 </w:t>
      </w:r>
      <w:proofErr w:type="spellStart"/>
      <w:r>
        <w:rPr>
          <w:szCs w:val="24"/>
        </w:rPr>
        <w:t>Gebze-Kocaeli</w:t>
      </w:r>
      <w:proofErr w:type="spellEnd"/>
      <w:r>
        <w:rPr>
          <w:szCs w:val="24"/>
        </w:rPr>
        <w:t>, TURKEY</w:t>
      </w:r>
    </w:p>
    <w:p w:rsidR="00610933" w:rsidRPr="001C5C11" w:rsidRDefault="00FB6988" w:rsidP="0092692B">
      <w:pPr>
        <w:suppressAutoHyphens/>
        <w:jc w:val="both"/>
        <w:rPr>
          <w:szCs w:val="24"/>
        </w:rPr>
      </w:pPr>
      <w:r w:rsidRPr="001C5C11">
        <w:rPr>
          <w:szCs w:val="24"/>
        </w:rPr>
        <w:t xml:space="preserve">suleyman.can@tubitak.gov.tr </w:t>
      </w:r>
    </w:p>
    <w:p w:rsidR="00610933" w:rsidRDefault="00FB6988" w:rsidP="0092692B">
      <w:pPr>
        <w:suppressAutoHyphens/>
        <w:jc w:val="both"/>
        <w:rPr>
          <w:szCs w:val="24"/>
        </w:rPr>
      </w:pPr>
      <w:r w:rsidRPr="001C5C11">
        <w:rPr>
          <w:szCs w:val="24"/>
        </w:rPr>
        <w:t>+90 262 679 5000 Ext. 6207</w:t>
      </w:r>
      <w:r w:rsidR="0092692B">
        <w:rPr>
          <w:szCs w:val="24"/>
        </w:rPr>
        <w:t xml:space="preserve"> (P)</w:t>
      </w:r>
    </w:p>
    <w:p w:rsidR="00373506" w:rsidRPr="001C5C11" w:rsidRDefault="00373506" w:rsidP="0092692B">
      <w:pPr>
        <w:suppressAutoHyphens/>
        <w:jc w:val="both"/>
        <w:rPr>
          <w:lang w:val="fr-FR"/>
        </w:rPr>
      </w:pPr>
      <w:r>
        <w:rPr>
          <w:szCs w:val="24"/>
        </w:rPr>
        <w:t>+90 262 679 5001 (F)</w:t>
      </w:r>
    </w:p>
    <w:p w:rsidR="00610933" w:rsidRDefault="00610933" w:rsidP="00610933">
      <w:pPr>
        <w:suppressAutoHyphens/>
        <w:jc w:val="both"/>
        <w:rPr>
          <w:lang w:val="fr-FR"/>
        </w:rPr>
      </w:pPr>
    </w:p>
    <w:p w:rsidR="00373506" w:rsidRPr="00373506" w:rsidRDefault="00373506" w:rsidP="00373506">
      <w:pPr>
        <w:rPr>
          <w:szCs w:val="24"/>
        </w:rPr>
      </w:pPr>
      <w:r w:rsidRPr="00373506">
        <w:rPr>
          <w:szCs w:val="24"/>
        </w:rPr>
        <w:lastRenderedPageBreak/>
        <w:t xml:space="preserve">Aida </w:t>
      </w:r>
      <w:proofErr w:type="spellStart"/>
      <w:r w:rsidRPr="00373506">
        <w:rPr>
          <w:szCs w:val="24"/>
        </w:rPr>
        <w:t>Jotanović</w:t>
      </w:r>
      <w:proofErr w:type="spellEnd"/>
      <w:r w:rsidRPr="00373506">
        <w:rPr>
          <w:szCs w:val="24"/>
        </w:rPr>
        <w:t xml:space="preserve">, </w:t>
      </w:r>
      <w:proofErr w:type="spellStart"/>
      <w:r w:rsidRPr="00373506">
        <w:rPr>
          <w:szCs w:val="24"/>
        </w:rPr>
        <w:t>MSc</w:t>
      </w:r>
      <w:proofErr w:type="spellEnd"/>
    </w:p>
    <w:p w:rsidR="00373506" w:rsidRPr="00373506" w:rsidRDefault="00373506" w:rsidP="00373506">
      <w:pPr>
        <w:rPr>
          <w:szCs w:val="24"/>
        </w:rPr>
      </w:pPr>
      <w:r w:rsidRPr="00373506">
        <w:rPr>
          <w:szCs w:val="24"/>
        </w:rPr>
        <w:t>Institute of metrology of B&amp;H</w:t>
      </w:r>
    </w:p>
    <w:p w:rsidR="00373506" w:rsidRPr="00373506" w:rsidRDefault="00373506" w:rsidP="00373506">
      <w:pPr>
        <w:rPr>
          <w:szCs w:val="24"/>
        </w:rPr>
      </w:pPr>
      <w:r w:rsidRPr="00373506">
        <w:rPr>
          <w:szCs w:val="24"/>
        </w:rPr>
        <w:t xml:space="preserve">Augusta </w:t>
      </w:r>
      <w:proofErr w:type="spellStart"/>
      <w:r w:rsidRPr="00373506">
        <w:rPr>
          <w:szCs w:val="24"/>
        </w:rPr>
        <w:t>Brauna</w:t>
      </w:r>
      <w:proofErr w:type="spellEnd"/>
      <w:r w:rsidRPr="00373506">
        <w:rPr>
          <w:szCs w:val="24"/>
        </w:rPr>
        <w:t xml:space="preserve"> No. 2, 71000 Sarajevo</w:t>
      </w:r>
    </w:p>
    <w:p w:rsidR="00373506" w:rsidRPr="00373506" w:rsidRDefault="00373506" w:rsidP="00373506">
      <w:pPr>
        <w:rPr>
          <w:szCs w:val="24"/>
        </w:rPr>
      </w:pPr>
      <w:r w:rsidRPr="00373506">
        <w:rPr>
          <w:szCs w:val="24"/>
        </w:rPr>
        <w:t>Bosnia and Herzegovina</w:t>
      </w:r>
    </w:p>
    <w:p w:rsidR="00373506" w:rsidRPr="00373506" w:rsidRDefault="00373506" w:rsidP="00373506">
      <w:pPr>
        <w:rPr>
          <w:szCs w:val="24"/>
        </w:rPr>
      </w:pPr>
      <w:r w:rsidRPr="00373506">
        <w:rPr>
          <w:szCs w:val="24"/>
        </w:rPr>
        <w:t>aida.jotanovic@met.gov.ba</w:t>
      </w:r>
    </w:p>
    <w:p w:rsidR="00373506" w:rsidRPr="00373506" w:rsidRDefault="00373506" w:rsidP="00373506">
      <w:pPr>
        <w:rPr>
          <w:szCs w:val="24"/>
        </w:rPr>
      </w:pPr>
      <w:r w:rsidRPr="00373506">
        <w:rPr>
          <w:szCs w:val="24"/>
        </w:rPr>
        <w:t>+387 (0) 33 568 925 (P)</w:t>
      </w:r>
    </w:p>
    <w:p w:rsidR="00373506" w:rsidRPr="00373506" w:rsidRDefault="00373506" w:rsidP="00373506">
      <w:pPr>
        <w:rPr>
          <w:szCs w:val="24"/>
        </w:rPr>
      </w:pPr>
      <w:r w:rsidRPr="00373506">
        <w:rPr>
          <w:szCs w:val="24"/>
        </w:rPr>
        <w:t>+387 (0) 33 568 909 (F)</w:t>
      </w:r>
    </w:p>
    <w:p w:rsidR="00373506" w:rsidRDefault="00373506" w:rsidP="00610933">
      <w:pPr>
        <w:suppressAutoHyphens/>
        <w:jc w:val="both"/>
        <w:rPr>
          <w:szCs w:val="24"/>
          <w:lang w:val="fr-FR"/>
        </w:rPr>
        <w:sectPr w:rsidR="00373506" w:rsidSect="00373506">
          <w:type w:val="continuous"/>
          <w:pgSz w:w="11906" w:h="16838"/>
          <w:pgMar w:top="1418" w:right="1418" w:bottom="1440" w:left="1418" w:header="851" w:footer="992" w:gutter="0"/>
          <w:pgNumType w:start="1"/>
          <w:cols w:num="2" w:space="425"/>
          <w:docGrid w:type="lines" w:linePitch="360"/>
        </w:sectPr>
      </w:pPr>
    </w:p>
    <w:p w:rsidR="00373506" w:rsidRPr="00373506" w:rsidRDefault="00373506" w:rsidP="00610933">
      <w:pPr>
        <w:suppressAutoHyphens/>
        <w:jc w:val="both"/>
        <w:rPr>
          <w:szCs w:val="24"/>
          <w:lang w:val="fr-FR"/>
        </w:rPr>
      </w:pPr>
    </w:p>
    <w:sectPr w:rsidR="00373506" w:rsidRPr="00373506" w:rsidSect="00373506">
      <w:type w:val="continuous"/>
      <w:pgSz w:w="11906" w:h="16838"/>
      <w:pgMar w:top="1418" w:right="1418" w:bottom="1440" w:left="1418"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506" w:rsidRDefault="00373506" w:rsidP="004D086C">
      <w:r>
        <w:separator/>
      </w:r>
    </w:p>
  </w:endnote>
  <w:endnote w:type="continuationSeparator" w:id="0">
    <w:p w:rsidR="00373506" w:rsidRDefault="00373506" w:rsidP="004D0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506" w:rsidRDefault="00373506">
    <w:pPr>
      <w:pStyle w:val="Footer"/>
      <w:jc w:val="center"/>
      <w:rPr>
        <w:lang w:eastAsia="zh-HK"/>
      </w:rPr>
    </w:pPr>
    <w:r>
      <w:t xml:space="preserve">Page </w:t>
    </w:r>
    <w:fldSimple w:instr="PAGE   \* MERGEFORMAT">
      <w:r w:rsidR="000E419E" w:rsidRPr="000E419E">
        <w:rPr>
          <w:noProof/>
          <w:lang w:val="zh-TW"/>
        </w:rPr>
        <w:t>2</w:t>
      </w:r>
    </w:fldSimple>
    <w:r>
      <w:t xml:space="preserve"> of </w:t>
    </w:r>
    <w:fldSimple w:instr=" NUMPAGES ">
      <w:r w:rsidR="000E419E">
        <w:rPr>
          <w:noProof/>
        </w:rPr>
        <w:t>4</w:t>
      </w:r>
    </w:fldSimple>
  </w:p>
  <w:p w:rsidR="00373506" w:rsidRDefault="003735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506" w:rsidRDefault="00373506" w:rsidP="004D086C">
      <w:r>
        <w:separator/>
      </w:r>
    </w:p>
  </w:footnote>
  <w:footnote w:type="continuationSeparator" w:id="0">
    <w:p w:rsidR="00373506" w:rsidRDefault="00373506" w:rsidP="004D08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7A56"/>
    <w:multiLevelType w:val="hybridMultilevel"/>
    <w:tmpl w:val="A2C60FA6"/>
    <w:lvl w:ilvl="0" w:tplc="D76017EE">
      <w:start w:val="1"/>
      <w:numFmt w:val="upperLetter"/>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752CCC"/>
    <w:multiLevelType w:val="hybridMultilevel"/>
    <w:tmpl w:val="C42E8F66"/>
    <w:lvl w:ilvl="0" w:tplc="5EDEDA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BB6C95"/>
    <w:multiLevelType w:val="hybridMultilevel"/>
    <w:tmpl w:val="E8967A08"/>
    <w:lvl w:ilvl="0" w:tplc="9BAE11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EC29F1"/>
    <w:multiLevelType w:val="hybridMultilevel"/>
    <w:tmpl w:val="128CF876"/>
    <w:lvl w:ilvl="0" w:tplc="10A4D9F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66A65EF"/>
    <w:multiLevelType w:val="hybridMultilevel"/>
    <w:tmpl w:val="6A32947A"/>
    <w:lvl w:ilvl="0" w:tplc="B33CB954">
      <w:start w:val="1"/>
      <w:numFmt w:val="bullet"/>
      <w:lvlText w:val="-"/>
      <w:lvlJc w:val="left"/>
      <w:pPr>
        <w:ind w:left="1080" w:hanging="360"/>
      </w:pPr>
      <w:rPr>
        <w:rFonts w:ascii="Times New Roman" w:eastAsia="PMingLiU"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A10641A"/>
    <w:multiLevelType w:val="hybridMultilevel"/>
    <w:tmpl w:val="68C6CCA8"/>
    <w:lvl w:ilvl="0" w:tplc="6944B8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E3C71AE"/>
    <w:multiLevelType w:val="hybridMultilevel"/>
    <w:tmpl w:val="F15624E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11946ED"/>
    <w:multiLevelType w:val="hybridMultilevel"/>
    <w:tmpl w:val="8BBAFE6A"/>
    <w:lvl w:ilvl="0" w:tplc="4B3E1AE8">
      <w:start w:val="2"/>
      <w:numFmt w:val="bullet"/>
      <w:lvlText w:val=""/>
      <w:lvlJc w:val="left"/>
      <w:pPr>
        <w:ind w:left="720" w:hanging="360"/>
      </w:pPr>
      <w:rPr>
        <w:rFonts w:ascii="Symbol" w:eastAsia="PMingLiU"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4147D3A"/>
    <w:multiLevelType w:val="hybridMultilevel"/>
    <w:tmpl w:val="7722B450"/>
    <w:lvl w:ilvl="0" w:tplc="D76017EE">
      <w:start w:val="1"/>
      <w:numFmt w:val="upperLetter"/>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DFC70D0"/>
    <w:multiLevelType w:val="hybridMultilevel"/>
    <w:tmpl w:val="90E8A06A"/>
    <w:lvl w:ilvl="0" w:tplc="B8F0644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8C36B92"/>
    <w:multiLevelType w:val="hybridMultilevel"/>
    <w:tmpl w:val="2D0EFD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59107542"/>
    <w:multiLevelType w:val="hybridMultilevel"/>
    <w:tmpl w:val="8B1AE7AC"/>
    <w:lvl w:ilvl="0" w:tplc="38706D60">
      <w:start w:val="2"/>
      <w:numFmt w:val="bullet"/>
      <w:lvlText w:val=""/>
      <w:lvlJc w:val="left"/>
      <w:pPr>
        <w:ind w:left="720" w:hanging="360"/>
      </w:pPr>
      <w:rPr>
        <w:rFonts w:ascii="Symbol" w:eastAsia="PMingLiU"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76301F5"/>
    <w:multiLevelType w:val="hybridMultilevel"/>
    <w:tmpl w:val="B92A1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0"/>
  </w:num>
  <w:num w:numId="4">
    <w:abstractNumId w:val="1"/>
  </w:num>
  <w:num w:numId="5">
    <w:abstractNumId w:val="12"/>
  </w:num>
  <w:num w:numId="6">
    <w:abstractNumId w:val="4"/>
  </w:num>
  <w:num w:numId="7">
    <w:abstractNumId w:val="5"/>
  </w:num>
  <w:num w:numId="8">
    <w:abstractNumId w:val="3"/>
  </w:num>
  <w:num w:numId="9">
    <w:abstractNumId w:val="9"/>
  </w:num>
  <w:num w:numId="10">
    <w:abstractNumId w:val="8"/>
  </w:num>
  <w:num w:numId="11">
    <w:abstractNumId w:val="0"/>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hyphenationZone w:val="42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370D"/>
    <w:rsid w:val="00001CA8"/>
    <w:rsid w:val="00005287"/>
    <w:rsid w:val="00012FB9"/>
    <w:rsid w:val="00036860"/>
    <w:rsid w:val="0004097C"/>
    <w:rsid w:val="00040F80"/>
    <w:rsid w:val="000613C0"/>
    <w:rsid w:val="00082F39"/>
    <w:rsid w:val="0008370D"/>
    <w:rsid w:val="0009294D"/>
    <w:rsid w:val="000E419E"/>
    <w:rsid w:val="000F39D5"/>
    <w:rsid w:val="00100BDD"/>
    <w:rsid w:val="00103CAE"/>
    <w:rsid w:val="0013776E"/>
    <w:rsid w:val="0014119F"/>
    <w:rsid w:val="001427C2"/>
    <w:rsid w:val="00165184"/>
    <w:rsid w:val="00177D96"/>
    <w:rsid w:val="0019169C"/>
    <w:rsid w:val="001A51EE"/>
    <w:rsid w:val="001B2527"/>
    <w:rsid w:val="001C5C11"/>
    <w:rsid w:val="001C7F23"/>
    <w:rsid w:val="001F7BF9"/>
    <w:rsid w:val="00204459"/>
    <w:rsid w:val="00211B88"/>
    <w:rsid w:val="002158F7"/>
    <w:rsid w:val="00224137"/>
    <w:rsid w:val="002308E3"/>
    <w:rsid w:val="00237017"/>
    <w:rsid w:val="0023761B"/>
    <w:rsid w:val="00256699"/>
    <w:rsid w:val="00284F51"/>
    <w:rsid w:val="00323CA0"/>
    <w:rsid w:val="00373506"/>
    <w:rsid w:val="003771CB"/>
    <w:rsid w:val="003B1E5A"/>
    <w:rsid w:val="003D4637"/>
    <w:rsid w:val="003D4D5B"/>
    <w:rsid w:val="003D7DAA"/>
    <w:rsid w:val="003E68C3"/>
    <w:rsid w:val="003F7013"/>
    <w:rsid w:val="00413EEB"/>
    <w:rsid w:val="004445A5"/>
    <w:rsid w:val="004560E8"/>
    <w:rsid w:val="0045648B"/>
    <w:rsid w:val="00457E55"/>
    <w:rsid w:val="004B412B"/>
    <w:rsid w:val="004C6368"/>
    <w:rsid w:val="004D086C"/>
    <w:rsid w:val="00535704"/>
    <w:rsid w:val="00594D45"/>
    <w:rsid w:val="005E3C44"/>
    <w:rsid w:val="00610933"/>
    <w:rsid w:val="00615F3A"/>
    <w:rsid w:val="00665DDB"/>
    <w:rsid w:val="00683180"/>
    <w:rsid w:val="006931EA"/>
    <w:rsid w:val="006A5BB7"/>
    <w:rsid w:val="006B42F0"/>
    <w:rsid w:val="006D1EC1"/>
    <w:rsid w:val="00703103"/>
    <w:rsid w:val="0077588A"/>
    <w:rsid w:val="00784674"/>
    <w:rsid w:val="00796995"/>
    <w:rsid w:val="0079722B"/>
    <w:rsid w:val="007B2F4C"/>
    <w:rsid w:val="007F15FB"/>
    <w:rsid w:val="0082539B"/>
    <w:rsid w:val="00847873"/>
    <w:rsid w:val="00885D7B"/>
    <w:rsid w:val="00892E47"/>
    <w:rsid w:val="00895772"/>
    <w:rsid w:val="008A2CE5"/>
    <w:rsid w:val="008A338D"/>
    <w:rsid w:val="008A76A2"/>
    <w:rsid w:val="008B4C9F"/>
    <w:rsid w:val="008C65F8"/>
    <w:rsid w:val="008E3709"/>
    <w:rsid w:val="008F39B3"/>
    <w:rsid w:val="008F6479"/>
    <w:rsid w:val="0092692B"/>
    <w:rsid w:val="00986B11"/>
    <w:rsid w:val="009976F8"/>
    <w:rsid w:val="009B4AE5"/>
    <w:rsid w:val="009C1CFD"/>
    <w:rsid w:val="009D3452"/>
    <w:rsid w:val="009D3F93"/>
    <w:rsid w:val="009E1879"/>
    <w:rsid w:val="009E7D98"/>
    <w:rsid w:val="00A23F99"/>
    <w:rsid w:val="00A34B97"/>
    <w:rsid w:val="00A41F95"/>
    <w:rsid w:val="00A424EC"/>
    <w:rsid w:val="00A46964"/>
    <w:rsid w:val="00A872C5"/>
    <w:rsid w:val="00A90AB0"/>
    <w:rsid w:val="00A9501B"/>
    <w:rsid w:val="00AE7D2D"/>
    <w:rsid w:val="00AF35D4"/>
    <w:rsid w:val="00B43C2C"/>
    <w:rsid w:val="00B63886"/>
    <w:rsid w:val="00B82F9D"/>
    <w:rsid w:val="00BD0E6A"/>
    <w:rsid w:val="00BD0FA0"/>
    <w:rsid w:val="00BD2C5F"/>
    <w:rsid w:val="00BD2EB4"/>
    <w:rsid w:val="00C04C82"/>
    <w:rsid w:val="00C06217"/>
    <w:rsid w:val="00C0634E"/>
    <w:rsid w:val="00C612C0"/>
    <w:rsid w:val="00C756FE"/>
    <w:rsid w:val="00C95013"/>
    <w:rsid w:val="00CA5D60"/>
    <w:rsid w:val="00CD468B"/>
    <w:rsid w:val="00D179CE"/>
    <w:rsid w:val="00D32BBC"/>
    <w:rsid w:val="00D33943"/>
    <w:rsid w:val="00D4606A"/>
    <w:rsid w:val="00D50DEE"/>
    <w:rsid w:val="00D754E2"/>
    <w:rsid w:val="00D87290"/>
    <w:rsid w:val="00DE5A1E"/>
    <w:rsid w:val="00DF591D"/>
    <w:rsid w:val="00E00DCB"/>
    <w:rsid w:val="00E065CB"/>
    <w:rsid w:val="00E11095"/>
    <w:rsid w:val="00E45F00"/>
    <w:rsid w:val="00EB7C30"/>
    <w:rsid w:val="00EC54A9"/>
    <w:rsid w:val="00EC657E"/>
    <w:rsid w:val="00ED6AF2"/>
    <w:rsid w:val="00EE359A"/>
    <w:rsid w:val="00EF6A13"/>
    <w:rsid w:val="00F031ED"/>
    <w:rsid w:val="00F53C51"/>
    <w:rsid w:val="00F55590"/>
    <w:rsid w:val="00F6318A"/>
    <w:rsid w:val="00F64058"/>
    <w:rsid w:val="00F76050"/>
    <w:rsid w:val="00F76A8D"/>
    <w:rsid w:val="00F92989"/>
    <w:rsid w:val="00FA11E8"/>
    <w:rsid w:val="00FB6988"/>
    <w:rsid w:val="00FC30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F23"/>
    <w:pPr>
      <w:widowControl w:val="0"/>
    </w:pPr>
    <w:rPr>
      <w:kern w:val="2"/>
      <w:sz w:val="24"/>
      <w:szCs w:val="22"/>
      <w:lang w:eastAsia="zh-TW"/>
    </w:rPr>
  </w:style>
  <w:style w:type="paragraph" w:styleId="Heading3">
    <w:name w:val="heading 3"/>
    <w:basedOn w:val="Normal"/>
    <w:next w:val="Normal"/>
    <w:link w:val="Heading3Char"/>
    <w:uiPriority w:val="9"/>
    <w:unhideWhenUsed/>
    <w:qFormat/>
    <w:rsid w:val="00A90AB0"/>
    <w:pPr>
      <w:keepNext/>
      <w:spacing w:line="720" w:lineRule="auto"/>
      <w:outlineLvl w:val="2"/>
    </w:pPr>
    <w:rPr>
      <w:rFonts w:ascii="Cambria" w:hAnsi="Cambria"/>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86C"/>
    <w:pPr>
      <w:tabs>
        <w:tab w:val="center" w:pos="4153"/>
        <w:tab w:val="right" w:pos="8306"/>
      </w:tabs>
      <w:snapToGrid w:val="0"/>
    </w:pPr>
    <w:rPr>
      <w:sz w:val="20"/>
      <w:szCs w:val="20"/>
    </w:rPr>
  </w:style>
  <w:style w:type="character" w:customStyle="1" w:styleId="HeaderChar">
    <w:name w:val="Header Char"/>
    <w:link w:val="Header"/>
    <w:uiPriority w:val="99"/>
    <w:rsid w:val="004D086C"/>
    <w:rPr>
      <w:kern w:val="2"/>
    </w:rPr>
  </w:style>
  <w:style w:type="paragraph" w:styleId="Footer">
    <w:name w:val="footer"/>
    <w:basedOn w:val="Normal"/>
    <w:link w:val="FooterChar"/>
    <w:uiPriority w:val="99"/>
    <w:unhideWhenUsed/>
    <w:rsid w:val="004D086C"/>
    <w:pPr>
      <w:tabs>
        <w:tab w:val="center" w:pos="4153"/>
        <w:tab w:val="right" w:pos="8306"/>
      </w:tabs>
      <w:snapToGrid w:val="0"/>
    </w:pPr>
    <w:rPr>
      <w:sz w:val="20"/>
      <w:szCs w:val="20"/>
    </w:rPr>
  </w:style>
  <w:style w:type="character" w:customStyle="1" w:styleId="FooterChar">
    <w:name w:val="Footer Char"/>
    <w:link w:val="Footer"/>
    <w:uiPriority w:val="99"/>
    <w:rsid w:val="004D086C"/>
    <w:rPr>
      <w:kern w:val="2"/>
    </w:rPr>
  </w:style>
  <w:style w:type="paragraph" w:styleId="Subtitle">
    <w:name w:val="Subtitle"/>
    <w:basedOn w:val="Normal"/>
    <w:next w:val="Normal"/>
    <w:link w:val="SubtitleChar"/>
    <w:uiPriority w:val="11"/>
    <w:qFormat/>
    <w:rsid w:val="004D086C"/>
    <w:pPr>
      <w:autoSpaceDE w:val="0"/>
      <w:autoSpaceDN w:val="0"/>
      <w:adjustRightInd w:val="0"/>
      <w:spacing w:after="60"/>
      <w:jc w:val="center"/>
      <w:outlineLvl w:val="1"/>
    </w:pPr>
    <w:rPr>
      <w:rFonts w:ascii="Cambria" w:hAnsi="Cambria"/>
      <w:i/>
      <w:iCs/>
      <w:kern w:val="0"/>
      <w:szCs w:val="24"/>
    </w:rPr>
  </w:style>
  <w:style w:type="character" w:customStyle="1" w:styleId="SubtitleChar">
    <w:name w:val="Subtitle Char"/>
    <w:link w:val="Subtitle"/>
    <w:uiPriority w:val="11"/>
    <w:rsid w:val="004D086C"/>
    <w:rPr>
      <w:rFonts w:ascii="Cambria" w:hAnsi="Cambria"/>
      <w:i/>
      <w:iCs/>
      <w:sz w:val="24"/>
      <w:szCs w:val="24"/>
    </w:rPr>
  </w:style>
  <w:style w:type="table" w:styleId="TableGrid">
    <w:name w:val="Table Grid"/>
    <w:basedOn w:val="TableNormal"/>
    <w:uiPriority w:val="39"/>
    <w:rsid w:val="00040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D0FA0"/>
    <w:pPr>
      <w:widowControl/>
      <w:spacing w:after="240" w:line="360" w:lineRule="auto"/>
      <w:jc w:val="both"/>
    </w:pPr>
    <w:rPr>
      <w:rFonts w:ascii="Times New Roman" w:eastAsia="Batang" w:hAnsi="Times New Roman"/>
      <w:kern w:val="0"/>
      <w:szCs w:val="20"/>
      <w:lang w:val="en-GB" w:eastAsia="en-US"/>
    </w:rPr>
  </w:style>
  <w:style w:type="character" w:customStyle="1" w:styleId="BodyTextChar">
    <w:name w:val="Body Text Char"/>
    <w:link w:val="BodyText"/>
    <w:rsid w:val="00BD0FA0"/>
    <w:rPr>
      <w:rFonts w:ascii="Times New Roman" w:eastAsia="Batang" w:hAnsi="Times New Roman"/>
      <w:sz w:val="24"/>
      <w:lang w:val="en-GB" w:eastAsia="en-US"/>
    </w:rPr>
  </w:style>
  <w:style w:type="character" w:styleId="Hyperlink">
    <w:name w:val="Hyperlink"/>
    <w:rsid w:val="004C6368"/>
    <w:rPr>
      <w:color w:val="0000FF"/>
      <w:u w:val="single"/>
    </w:rPr>
  </w:style>
  <w:style w:type="paragraph" w:styleId="ListParagraph">
    <w:name w:val="List Paragraph"/>
    <w:basedOn w:val="Normal"/>
    <w:uiPriority w:val="34"/>
    <w:qFormat/>
    <w:rsid w:val="004C6368"/>
    <w:pPr>
      <w:ind w:leftChars="200" w:left="480"/>
    </w:pPr>
    <w:rPr>
      <w:lang w:val="en-HK"/>
    </w:rPr>
  </w:style>
  <w:style w:type="character" w:customStyle="1" w:styleId="Heading3Char">
    <w:name w:val="Heading 3 Char"/>
    <w:link w:val="Heading3"/>
    <w:uiPriority w:val="9"/>
    <w:rsid w:val="00A90AB0"/>
    <w:rPr>
      <w:rFonts w:ascii="Cambria" w:hAnsi="Cambria"/>
      <w:b/>
      <w:bCs/>
      <w:kern w:val="2"/>
      <w:sz w:val="36"/>
      <w:szCs w:val="36"/>
      <w:lang w:val="en-GB"/>
    </w:rPr>
  </w:style>
  <w:style w:type="paragraph" w:styleId="BalloonText">
    <w:name w:val="Balloon Text"/>
    <w:basedOn w:val="Normal"/>
    <w:link w:val="BalloonTextChar"/>
    <w:uiPriority w:val="99"/>
    <w:semiHidden/>
    <w:unhideWhenUsed/>
    <w:rsid w:val="008B4C9F"/>
    <w:rPr>
      <w:rFonts w:ascii="Cambria" w:hAnsi="Cambria"/>
      <w:sz w:val="18"/>
      <w:szCs w:val="18"/>
    </w:rPr>
  </w:style>
  <w:style w:type="character" w:customStyle="1" w:styleId="BalloonTextChar">
    <w:name w:val="Balloon Text Char"/>
    <w:link w:val="BalloonText"/>
    <w:uiPriority w:val="99"/>
    <w:semiHidden/>
    <w:rsid w:val="008B4C9F"/>
    <w:rPr>
      <w:rFonts w:ascii="Cambria" w:eastAsia="PMingLiU" w:hAnsi="Cambria" w:cs="Times New Roman"/>
      <w:kern w:val="2"/>
      <w:sz w:val="18"/>
      <w:szCs w:val="18"/>
    </w:rPr>
  </w:style>
  <w:style w:type="paragraph" w:styleId="NormalWeb">
    <w:name w:val="Normal (Web)"/>
    <w:basedOn w:val="Normal"/>
    <w:uiPriority w:val="99"/>
    <w:unhideWhenUsed/>
    <w:rsid w:val="005E3C44"/>
    <w:pPr>
      <w:widowControl/>
      <w:spacing w:before="100" w:beforeAutospacing="1" w:after="100" w:afterAutospacing="1"/>
    </w:pPr>
    <w:rPr>
      <w:rFonts w:ascii="Times New Roman" w:eastAsia="Times New Roman" w:hAnsi="Times New Roman"/>
      <w:kern w:val="0"/>
      <w:szCs w:val="24"/>
      <w:lang w:val="tr-TR" w:eastAsia="tr-TR"/>
    </w:rPr>
  </w:style>
  <w:style w:type="character" w:styleId="CommentReference">
    <w:name w:val="annotation reference"/>
    <w:basedOn w:val="DefaultParagraphFont"/>
    <w:uiPriority w:val="99"/>
    <w:semiHidden/>
    <w:unhideWhenUsed/>
    <w:rsid w:val="00FC304F"/>
    <w:rPr>
      <w:sz w:val="16"/>
      <w:szCs w:val="16"/>
    </w:rPr>
  </w:style>
  <w:style w:type="paragraph" w:styleId="CommentText">
    <w:name w:val="annotation text"/>
    <w:basedOn w:val="Normal"/>
    <w:link w:val="CommentTextChar"/>
    <w:uiPriority w:val="99"/>
    <w:semiHidden/>
    <w:unhideWhenUsed/>
    <w:rsid w:val="00FC304F"/>
    <w:rPr>
      <w:sz w:val="20"/>
      <w:szCs w:val="20"/>
    </w:rPr>
  </w:style>
  <w:style w:type="character" w:customStyle="1" w:styleId="CommentTextChar">
    <w:name w:val="Comment Text Char"/>
    <w:basedOn w:val="DefaultParagraphFont"/>
    <w:link w:val="CommentText"/>
    <w:uiPriority w:val="99"/>
    <w:semiHidden/>
    <w:rsid w:val="00FC304F"/>
    <w:rPr>
      <w:kern w:val="2"/>
      <w:lang w:eastAsia="zh-TW"/>
    </w:rPr>
  </w:style>
  <w:style w:type="paragraph" w:styleId="CommentSubject">
    <w:name w:val="annotation subject"/>
    <w:basedOn w:val="CommentText"/>
    <w:next w:val="CommentText"/>
    <w:link w:val="CommentSubjectChar"/>
    <w:uiPriority w:val="99"/>
    <w:semiHidden/>
    <w:unhideWhenUsed/>
    <w:rsid w:val="00FC304F"/>
    <w:rPr>
      <w:b/>
      <w:bCs/>
    </w:rPr>
  </w:style>
  <w:style w:type="character" w:customStyle="1" w:styleId="CommentSubjectChar">
    <w:name w:val="Comment Subject Char"/>
    <w:basedOn w:val="CommentTextChar"/>
    <w:link w:val="CommentSubject"/>
    <w:uiPriority w:val="99"/>
    <w:semiHidden/>
    <w:rsid w:val="00FC304F"/>
    <w:rPr>
      <w:b/>
      <w:bCs/>
    </w:rPr>
  </w:style>
  <w:style w:type="paragraph" w:styleId="Revision">
    <w:name w:val="Revision"/>
    <w:hidden/>
    <w:uiPriority w:val="99"/>
    <w:semiHidden/>
    <w:rsid w:val="00FC304F"/>
    <w:rPr>
      <w:kern w:val="2"/>
      <w:sz w:val="24"/>
      <w:szCs w:val="22"/>
      <w:lang w:eastAsia="zh-TW"/>
    </w:rPr>
  </w:style>
  <w:style w:type="character" w:styleId="FollowedHyperlink">
    <w:name w:val="FollowedHyperlink"/>
    <w:basedOn w:val="DefaultParagraphFont"/>
    <w:uiPriority w:val="99"/>
    <w:semiHidden/>
    <w:unhideWhenUsed/>
    <w:rsid w:val="009C1CF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2706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per.isleyen@tubitak.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leyman.can@tubitak.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nvcr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0E10A-8EF8-4321-8DB4-1BCB35235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Pages>
  <Words>1028</Words>
  <Characters>5866</Characters>
  <Application>Microsoft Office Word</Application>
  <DocSecurity>0</DocSecurity>
  <Lines>48</Lines>
  <Paragraphs>13</Paragraphs>
  <ScaleCrop>false</ScaleCrop>
  <HeadingPairs>
    <vt:vector size="6" baseType="variant">
      <vt:variant>
        <vt:lpstr>Title</vt:lpstr>
      </vt:variant>
      <vt:variant>
        <vt:i4>1</vt:i4>
      </vt:variant>
      <vt:variant>
        <vt:lpstr>Konu Başlığı</vt:lpstr>
      </vt:variant>
      <vt:variant>
        <vt:i4>1</vt:i4>
      </vt:variant>
      <vt:variant>
        <vt:lpstr>タイトル</vt:lpstr>
      </vt:variant>
      <vt:variant>
        <vt:i4>1</vt:i4>
      </vt:variant>
    </vt:vector>
  </HeadingPairs>
  <TitlesOfParts>
    <vt:vector size="3" baseType="lpstr">
      <vt:lpstr/>
      <vt:lpstr/>
      <vt:lpstr/>
    </vt:vector>
  </TitlesOfParts>
  <Company>Government Laboratory</Company>
  <LinksUpToDate>false</LinksUpToDate>
  <CharactersWithSpaces>6881</CharactersWithSpaces>
  <SharedDoc>false</SharedDoc>
  <HLinks>
    <vt:vector size="12" baseType="variant">
      <vt:variant>
        <vt:i4>8323148</vt:i4>
      </vt:variant>
      <vt:variant>
        <vt:i4>3</vt:i4>
      </vt:variant>
      <vt:variant>
        <vt:i4>0</vt:i4>
      </vt:variant>
      <vt:variant>
        <vt:i4>5</vt:i4>
      </vt:variant>
      <vt:variant>
        <vt:lpwstr>mailto:alper.isleyen@tubitak.gov.tr</vt:lpwstr>
      </vt:variant>
      <vt:variant>
        <vt:lpwstr/>
      </vt:variant>
      <vt:variant>
        <vt:i4>655416</vt:i4>
      </vt:variant>
      <vt:variant>
        <vt:i4>0</vt:i4>
      </vt:variant>
      <vt:variant>
        <vt:i4>0</vt:i4>
      </vt:variant>
      <vt:variant>
        <vt:i4>5</vt:i4>
      </vt:variant>
      <vt:variant>
        <vt:lpwstr>mailto:suleyman.can@tubitak.gov.tr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suleyman.can</dc:creator>
  <cp:lastModifiedBy>Suleyman CAN</cp:lastModifiedBy>
  <cp:revision>8</cp:revision>
  <cp:lastPrinted>2014-07-03T06:08:00Z</cp:lastPrinted>
  <dcterms:created xsi:type="dcterms:W3CDTF">2017-05-24T17:56:00Z</dcterms:created>
  <dcterms:modified xsi:type="dcterms:W3CDTF">2017-06-08T07:28:00Z</dcterms:modified>
</cp:coreProperties>
</file>