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416C" w14:textId="77777777" w:rsidR="006C1FE1" w:rsidRPr="006F035E" w:rsidRDefault="006C1FE1" w:rsidP="006C1FE1">
      <w:pPr>
        <w:spacing w:after="0" w:line="240" w:lineRule="atLeast"/>
        <w:jc w:val="center"/>
        <w:rPr>
          <w:b/>
          <w:bCs/>
          <w:sz w:val="28"/>
          <w:szCs w:val="28"/>
        </w:rPr>
      </w:pPr>
    </w:p>
    <w:p w14:paraId="3A0696A4" w14:textId="77777777" w:rsidR="006C1FE1" w:rsidRPr="006F035E" w:rsidRDefault="006C1FE1" w:rsidP="006C1FE1">
      <w:pPr>
        <w:spacing w:after="0" w:line="240" w:lineRule="atLeast"/>
        <w:jc w:val="center"/>
        <w:rPr>
          <w:b/>
          <w:bCs/>
          <w:sz w:val="28"/>
          <w:szCs w:val="28"/>
        </w:rPr>
      </w:pPr>
      <w:r w:rsidRPr="006F035E">
        <w:rPr>
          <w:b/>
          <w:bCs/>
          <w:noProof/>
          <w:sz w:val="32"/>
          <w:szCs w:val="32"/>
        </w:rPr>
        <w:drawing>
          <wp:inline distT="0" distB="0" distL="0" distR="0" wp14:anchorId="6D7A10C0" wp14:editId="6E3975F1">
            <wp:extent cx="1666875" cy="859698"/>
            <wp:effectExtent l="0" t="0" r="0" b="0"/>
            <wp:docPr id="54" name="Obrázek 54" descr="Une image contenant Police, logo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Obrázek 54" descr="Une image contenant Police, logo, Graphique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878" cy="868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74C">
        <w:rPr>
          <w:noProof/>
          <w:sz w:val="32"/>
          <w:lang w:eastAsia="en-US"/>
        </w:rPr>
        <w:drawing>
          <wp:inline distT="0" distB="0" distL="0" distR="0" wp14:anchorId="2AFE3488" wp14:editId="75321EF1">
            <wp:extent cx="795295" cy="838200"/>
            <wp:effectExtent l="0" t="0" r="508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163" cy="90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DD338" w14:textId="77777777" w:rsidR="006C1FE1" w:rsidRPr="006F035E" w:rsidRDefault="006C1FE1" w:rsidP="006C1FE1">
      <w:pPr>
        <w:spacing w:after="0" w:line="240" w:lineRule="atLeast"/>
        <w:jc w:val="center"/>
        <w:rPr>
          <w:b/>
          <w:bCs/>
          <w:sz w:val="28"/>
          <w:szCs w:val="28"/>
        </w:rPr>
      </w:pPr>
    </w:p>
    <w:p w14:paraId="582CC350" w14:textId="77777777" w:rsidR="006C1FE1" w:rsidRPr="006F035E" w:rsidRDefault="006C1FE1" w:rsidP="006C1FE1">
      <w:pPr>
        <w:spacing w:after="0" w:line="240" w:lineRule="atLeast"/>
        <w:jc w:val="center"/>
        <w:rPr>
          <w:b/>
          <w:bCs/>
          <w:sz w:val="28"/>
          <w:szCs w:val="28"/>
        </w:rPr>
      </w:pPr>
    </w:p>
    <w:p w14:paraId="484DC833" w14:textId="77777777" w:rsidR="006C1FE1" w:rsidRPr="00442195" w:rsidRDefault="006C1FE1" w:rsidP="006C1FE1">
      <w:pPr>
        <w:spacing w:after="0" w:line="240" w:lineRule="atLeast"/>
        <w:jc w:val="center"/>
        <w:rPr>
          <w:b/>
          <w:bCs/>
          <w:sz w:val="32"/>
          <w:szCs w:val="32"/>
        </w:rPr>
      </w:pPr>
      <w:r w:rsidRPr="00442195">
        <w:rPr>
          <w:b/>
          <w:bCs/>
          <w:sz w:val="32"/>
          <w:szCs w:val="32"/>
        </w:rPr>
        <w:t>Technical Protocol</w:t>
      </w:r>
    </w:p>
    <w:p w14:paraId="6B063B32" w14:textId="77777777" w:rsidR="006C1FE1" w:rsidRDefault="006C1FE1" w:rsidP="006C1FE1">
      <w:pPr>
        <w:spacing w:after="0" w:line="240" w:lineRule="atLeast"/>
        <w:jc w:val="center"/>
        <w:rPr>
          <w:b/>
          <w:bCs/>
          <w:sz w:val="28"/>
          <w:szCs w:val="28"/>
        </w:rPr>
      </w:pPr>
    </w:p>
    <w:p w14:paraId="6919D1DE" w14:textId="77777777" w:rsidR="006C1FE1" w:rsidRDefault="006C1FE1" w:rsidP="006C1FE1">
      <w:pPr>
        <w:spacing w:after="0" w:line="240" w:lineRule="atLeast"/>
        <w:jc w:val="center"/>
        <w:rPr>
          <w:b/>
          <w:bCs/>
          <w:sz w:val="28"/>
          <w:szCs w:val="28"/>
        </w:rPr>
      </w:pPr>
    </w:p>
    <w:p w14:paraId="1E951049" w14:textId="27F2D57D" w:rsidR="006C1FE1" w:rsidRPr="006F035E" w:rsidRDefault="006C1FE1" w:rsidP="006C1FE1">
      <w:pPr>
        <w:spacing w:after="0" w:line="240" w:lineRule="atLeast"/>
        <w:jc w:val="center"/>
        <w:rPr>
          <w:b/>
          <w:bCs/>
          <w:sz w:val="32"/>
          <w:szCs w:val="32"/>
        </w:rPr>
      </w:pPr>
      <w:r w:rsidRPr="006F035E">
        <w:rPr>
          <w:b/>
          <w:bCs/>
          <w:sz w:val="32"/>
          <w:szCs w:val="32"/>
        </w:rPr>
        <w:t xml:space="preserve">Comparisons of standards for liquid </w:t>
      </w:r>
      <w:r w:rsidR="00EA3425" w:rsidRPr="001B0CEC">
        <w:rPr>
          <w:b/>
          <w:bCs/>
          <w:sz w:val="32"/>
          <w:szCs w:val="32"/>
        </w:rPr>
        <w:t>milli-</w:t>
      </w:r>
      <w:r w:rsidRPr="001B0CEC">
        <w:rPr>
          <w:b/>
          <w:bCs/>
          <w:sz w:val="32"/>
          <w:szCs w:val="32"/>
        </w:rPr>
        <w:t xml:space="preserve">micro flow </w:t>
      </w:r>
      <w:r w:rsidRPr="006F035E">
        <w:rPr>
          <w:b/>
          <w:bCs/>
          <w:sz w:val="32"/>
          <w:szCs w:val="32"/>
        </w:rPr>
        <w:t xml:space="preserve">rates </w:t>
      </w:r>
    </w:p>
    <w:p w14:paraId="579E83CE" w14:textId="77777777" w:rsidR="006C1FE1" w:rsidRDefault="006C1FE1" w:rsidP="006C1FE1">
      <w:pPr>
        <w:spacing w:after="0" w:line="240" w:lineRule="atLeast"/>
        <w:jc w:val="center"/>
        <w:rPr>
          <w:b/>
          <w:bCs/>
          <w:sz w:val="28"/>
          <w:szCs w:val="28"/>
        </w:rPr>
      </w:pPr>
    </w:p>
    <w:p w14:paraId="77335405" w14:textId="77777777" w:rsidR="006C1FE1" w:rsidRPr="006F035E" w:rsidRDefault="006C1FE1" w:rsidP="006C1FE1">
      <w:pPr>
        <w:spacing w:after="0" w:line="240" w:lineRule="atLeast"/>
        <w:jc w:val="center"/>
        <w:rPr>
          <w:b/>
          <w:bCs/>
          <w:sz w:val="28"/>
          <w:szCs w:val="28"/>
        </w:rPr>
      </w:pPr>
    </w:p>
    <w:p w14:paraId="072B2A06" w14:textId="77777777" w:rsidR="006C1FE1" w:rsidRDefault="006C1FE1" w:rsidP="006C1FE1">
      <w:pPr>
        <w:jc w:val="center"/>
        <w:rPr>
          <w:sz w:val="28"/>
          <w:szCs w:val="28"/>
        </w:rPr>
      </w:pPr>
      <w:r w:rsidRPr="00E07C9E">
        <w:rPr>
          <w:sz w:val="28"/>
          <w:szCs w:val="28"/>
        </w:rPr>
        <w:t xml:space="preserve">EURAMET </w:t>
      </w:r>
      <w:r>
        <w:rPr>
          <w:sz w:val="28"/>
          <w:szCs w:val="28"/>
        </w:rPr>
        <w:t>identifier</w:t>
      </w:r>
      <w:r w:rsidRPr="00E07C9E">
        <w:rPr>
          <w:sz w:val="28"/>
          <w:szCs w:val="28"/>
        </w:rPr>
        <w:t xml:space="preserve">: </w:t>
      </w:r>
      <w:r>
        <w:rPr>
          <w:sz w:val="28"/>
          <w:szCs w:val="28"/>
        </w:rPr>
        <w:t>xxxx</w:t>
      </w:r>
    </w:p>
    <w:p w14:paraId="1DF7D25E" w14:textId="77777777" w:rsidR="006C1FE1" w:rsidRPr="00E07C9E" w:rsidRDefault="006C1FE1" w:rsidP="006C1FE1">
      <w:pPr>
        <w:jc w:val="center"/>
        <w:rPr>
          <w:sz w:val="28"/>
          <w:szCs w:val="28"/>
        </w:rPr>
      </w:pPr>
      <w:r w:rsidRPr="00442195">
        <w:rPr>
          <w:sz w:val="28"/>
          <w:szCs w:val="28"/>
        </w:rPr>
        <w:t>EURAMET Supplementary comparison</w:t>
      </w:r>
    </w:p>
    <w:p w14:paraId="474E1DBD" w14:textId="77777777" w:rsidR="006C1FE1" w:rsidRPr="006F035E" w:rsidRDefault="006C1FE1" w:rsidP="006C1FE1">
      <w:pPr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BIPM </w:t>
      </w:r>
      <w:r w:rsidRPr="00E07C9E">
        <w:rPr>
          <w:sz w:val="28"/>
          <w:szCs w:val="28"/>
        </w:rPr>
        <w:t>KCDB</w:t>
      </w:r>
      <w:r>
        <w:rPr>
          <w:sz w:val="28"/>
          <w:szCs w:val="28"/>
        </w:rPr>
        <w:t xml:space="preserve"> identifier</w:t>
      </w:r>
      <w:r w:rsidRPr="00E07C9E">
        <w:rPr>
          <w:sz w:val="28"/>
          <w:szCs w:val="28"/>
        </w:rPr>
        <w:t xml:space="preserve">: </w:t>
      </w:r>
      <w:r w:rsidRPr="00DE3A5A">
        <w:rPr>
          <w:sz w:val="28"/>
          <w:szCs w:val="28"/>
          <w:lang w:val="en-GB"/>
        </w:rPr>
        <w:t>EURAMET.M.FF-S</w:t>
      </w:r>
      <w:r>
        <w:rPr>
          <w:sz w:val="28"/>
          <w:szCs w:val="28"/>
          <w:lang w:val="en-GB"/>
        </w:rPr>
        <w:t>xx</w:t>
      </w:r>
    </w:p>
    <w:p w14:paraId="1AD7C157" w14:textId="77777777" w:rsidR="006C1FE1" w:rsidRPr="006F035E" w:rsidRDefault="006C1FE1" w:rsidP="006C1FE1">
      <w:pPr>
        <w:spacing w:after="0" w:line="240" w:lineRule="atLeast"/>
        <w:jc w:val="center"/>
        <w:rPr>
          <w:b/>
          <w:bCs/>
          <w:sz w:val="32"/>
          <w:szCs w:val="32"/>
        </w:rPr>
      </w:pPr>
    </w:p>
    <w:p w14:paraId="6220ECBD" w14:textId="77777777" w:rsidR="006C1FE1" w:rsidRPr="006F035E" w:rsidRDefault="006C1FE1" w:rsidP="006C1FE1">
      <w:pPr>
        <w:spacing w:after="0" w:line="240" w:lineRule="atLeast"/>
        <w:jc w:val="center"/>
        <w:rPr>
          <w:b/>
          <w:bCs/>
          <w:sz w:val="32"/>
          <w:szCs w:val="32"/>
        </w:rPr>
      </w:pPr>
    </w:p>
    <w:p w14:paraId="2426E91A" w14:textId="77777777" w:rsidR="006C1FE1" w:rsidRPr="006F035E" w:rsidRDefault="006C1FE1" w:rsidP="006C1FE1">
      <w:pPr>
        <w:spacing w:after="0" w:line="240" w:lineRule="atLeast"/>
        <w:jc w:val="center"/>
        <w:rPr>
          <w:b/>
          <w:bCs/>
          <w:sz w:val="32"/>
          <w:szCs w:val="32"/>
        </w:rPr>
      </w:pPr>
    </w:p>
    <w:p w14:paraId="03C94724" w14:textId="77777777" w:rsidR="006C1FE1" w:rsidRPr="006F035E" w:rsidRDefault="006C1FE1" w:rsidP="006C1FE1">
      <w:pPr>
        <w:spacing w:after="0" w:line="240" w:lineRule="atLeast"/>
        <w:jc w:val="center"/>
        <w:rPr>
          <w:b/>
          <w:bCs/>
          <w:sz w:val="32"/>
          <w:szCs w:val="32"/>
        </w:rPr>
      </w:pPr>
    </w:p>
    <w:p w14:paraId="6393AB3E" w14:textId="7624DA45" w:rsidR="00003462" w:rsidRDefault="0039694F" w:rsidP="006C1FE1">
      <w:pPr>
        <w:spacing w:after="0" w:line="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Co-</w:t>
      </w:r>
      <w:proofErr w:type="spellStart"/>
      <w:r>
        <w:rPr>
          <w:sz w:val="24"/>
          <w:szCs w:val="24"/>
        </w:rPr>
        <w:t>ordinator</w:t>
      </w:r>
      <w:proofErr w:type="spellEnd"/>
      <w:r w:rsidR="006C1FE1" w:rsidRPr="006F035E">
        <w:rPr>
          <w:sz w:val="24"/>
          <w:szCs w:val="24"/>
        </w:rPr>
        <w:t xml:space="preserve"> </w:t>
      </w:r>
      <w:r w:rsidR="006C1FE1">
        <w:rPr>
          <w:sz w:val="24"/>
          <w:szCs w:val="24"/>
        </w:rPr>
        <w:t xml:space="preserve">/ </w:t>
      </w:r>
      <w:r w:rsidR="006C1FE1" w:rsidRPr="006F035E">
        <w:rPr>
          <w:sz w:val="24"/>
          <w:szCs w:val="24"/>
        </w:rPr>
        <w:t>pilot</w:t>
      </w:r>
    </w:p>
    <w:p w14:paraId="5BBAE87F" w14:textId="331D6023" w:rsidR="006C1FE1" w:rsidRPr="006F035E" w:rsidRDefault="00003462" w:rsidP="006C1FE1">
      <w:pPr>
        <w:spacing w:after="0" w:line="0" w:lineRule="atLeast"/>
        <w:jc w:val="center"/>
        <w:rPr>
          <w:sz w:val="24"/>
          <w:szCs w:val="24"/>
        </w:rPr>
      </w:pPr>
      <w:r w:rsidRPr="0098420B">
        <w:rPr>
          <w:b/>
          <w:bCs/>
          <w:sz w:val="24"/>
          <w:szCs w:val="24"/>
        </w:rPr>
        <w:t>CMI/Czech Republic</w:t>
      </w:r>
      <w:r w:rsidR="006C1FE1" w:rsidRPr="006F035E">
        <w:rPr>
          <w:sz w:val="24"/>
          <w:szCs w:val="24"/>
        </w:rPr>
        <w:br/>
      </w:r>
      <w:r w:rsidR="006C1FE1" w:rsidRPr="006F035E">
        <w:rPr>
          <w:b/>
          <w:bCs/>
          <w:sz w:val="24"/>
          <w:szCs w:val="24"/>
        </w:rPr>
        <w:t>CETIAT/France</w:t>
      </w:r>
    </w:p>
    <w:p w14:paraId="2C7647B9" w14:textId="307ADA5F" w:rsidR="006C1FE1" w:rsidRPr="0098420B" w:rsidRDefault="006C1FE1" w:rsidP="006C1FE1">
      <w:pPr>
        <w:jc w:val="center"/>
        <w:rPr>
          <w:b/>
          <w:bCs/>
        </w:rPr>
      </w:pPr>
      <w:r w:rsidRPr="0098420B">
        <w:rPr>
          <w:b/>
          <w:bCs/>
          <w:sz w:val="24"/>
          <w:szCs w:val="24"/>
        </w:rPr>
        <w:br/>
      </w:r>
    </w:p>
    <w:p w14:paraId="6B5E274A" w14:textId="77777777" w:rsidR="006C1FE1" w:rsidRPr="006C1FE1" w:rsidRDefault="006C1FE1" w:rsidP="006C1FE1">
      <w:pPr>
        <w:jc w:val="center"/>
        <w:rPr>
          <w:b/>
          <w:bCs/>
        </w:rPr>
      </w:pPr>
    </w:p>
    <w:p w14:paraId="16162B4F" w14:textId="77777777" w:rsidR="006C1FE1" w:rsidRPr="006C1FE1" w:rsidRDefault="006C1FE1" w:rsidP="006C1FE1">
      <w:pPr>
        <w:jc w:val="center"/>
        <w:rPr>
          <w:b/>
          <w:bCs/>
        </w:rPr>
      </w:pPr>
    </w:p>
    <w:p w14:paraId="6B883F0D" w14:textId="77777777" w:rsidR="006C1FE1" w:rsidRPr="006C1FE1" w:rsidRDefault="006C1FE1" w:rsidP="006C1FE1">
      <w:pPr>
        <w:jc w:val="center"/>
        <w:rPr>
          <w:b/>
          <w:bCs/>
        </w:rPr>
      </w:pPr>
    </w:p>
    <w:p w14:paraId="64E7CF41" w14:textId="77777777" w:rsidR="006C1FE1" w:rsidRPr="006C1FE1" w:rsidRDefault="006C1FE1" w:rsidP="006C1FE1">
      <w:pPr>
        <w:jc w:val="center"/>
        <w:rPr>
          <w:b/>
          <w:bCs/>
        </w:rPr>
      </w:pPr>
    </w:p>
    <w:p w14:paraId="2C06E26E" w14:textId="77777777" w:rsidR="006C1FE1" w:rsidRPr="006C1FE1" w:rsidRDefault="006C1FE1" w:rsidP="006C1FE1">
      <w:pPr>
        <w:jc w:val="center"/>
        <w:rPr>
          <w:b/>
          <w:bCs/>
        </w:rPr>
      </w:pPr>
    </w:p>
    <w:p w14:paraId="1F296C6E" w14:textId="77777777" w:rsidR="006C1FE1" w:rsidRPr="006C1FE1" w:rsidRDefault="006C1FE1" w:rsidP="006C1FE1">
      <w:pPr>
        <w:jc w:val="center"/>
        <w:rPr>
          <w:b/>
          <w:bCs/>
        </w:rPr>
      </w:pPr>
    </w:p>
    <w:p w14:paraId="133182F8" w14:textId="4A5BB7D8" w:rsidR="006C1FE1" w:rsidRPr="006C1FE1" w:rsidRDefault="00F21056" w:rsidP="006C1FE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</w:t>
      </w:r>
      <w:r w:rsidR="006C1FE1" w:rsidRPr="006C1FE1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5</w:t>
      </w:r>
    </w:p>
    <w:p w14:paraId="45933AE2" w14:textId="08FDE6CD" w:rsidR="006C1FE1" w:rsidRPr="006C1FE1" w:rsidRDefault="00D0614C" w:rsidP="00CE3D5C">
      <w:pPr>
        <w:rPr>
          <w:b/>
          <w:bCs/>
          <w:sz w:val="28"/>
          <w:szCs w:val="28"/>
        </w:rPr>
      </w:pPr>
      <w:r w:rsidRPr="006F035E">
        <w:br w:type="page"/>
      </w:r>
      <w:r w:rsidR="006C1FE1" w:rsidRPr="006C1FE1">
        <w:rPr>
          <w:b/>
          <w:bCs/>
          <w:sz w:val="28"/>
          <w:szCs w:val="28"/>
        </w:rPr>
        <w:lastRenderedPageBreak/>
        <w:t>Contents</w:t>
      </w:r>
    </w:p>
    <w:p w14:paraId="3ABC1931" w14:textId="06CFBB20" w:rsidR="00A410E5" w:rsidRDefault="00F6415F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r w:rsidRPr="006F035E">
        <w:fldChar w:fldCharType="begin"/>
      </w:r>
      <w:r w:rsidR="00D0614C" w:rsidRPr="006F035E">
        <w:instrText xml:space="preserve"> TOC \o "1-3" \h \z \u </w:instrText>
      </w:r>
      <w:r w:rsidRPr="006F035E">
        <w:fldChar w:fldCharType="separate"/>
      </w:r>
      <w:hyperlink w:anchor="_Toc193212487" w:history="1">
        <w:r w:rsidR="00A410E5" w:rsidRPr="0005725F">
          <w:rPr>
            <w:rStyle w:val="Hypertextovodkaz"/>
            <w:noProof/>
          </w:rPr>
          <w:t>1</w:t>
        </w:r>
        <w:r w:rsidR="00A410E5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="00A410E5" w:rsidRPr="0005725F">
          <w:rPr>
            <w:rStyle w:val="Hypertextovodkaz"/>
            <w:noProof/>
          </w:rPr>
          <w:t>Introduction</w:t>
        </w:r>
        <w:r w:rsidR="00A410E5">
          <w:rPr>
            <w:noProof/>
            <w:webHidden/>
          </w:rPr>
          <w:tab/>
        </w:r>
        <w:r w:rsidR="00A410E5">
          <w:rPr>
            <w:noProof/>
            <w:webHidden/>
          </w:rPr>
          <w:fldChar w:fldCharType="begin"/>
        </w:r>
        <w:r w:rsidR="00A410E5">
          <w:rPr>
            <w:noProof/>
            <w:webHidden/>
          </w:rPr>
          <w:instrText xml:space="preserve"> PAGEREF _Toc193212487 \h </w:instrText>
        </w:r>
        <w:r w:rsidR="00A410E5">
          <w:rPr>
            <w:noProof/>
            <w:webHidden/>
          </w:rPr>
        </w:r>
        <w:r w:rsidR="00A410E5">
          <w:rPr>
            <w:noProof/>
            <w:webHidden/>
          </w:rPr>
          <w:fldChar w:fldCharType="separate"/>
        </w:r>
        <w:r w:rsidR="00A410E5">
          <w:rPr>
            <w:noProof/>
            <w:webHidden/>
          </w:rPr>
          <w:t>3</w:t>
        </w:r>
        <w:r w:rsidR="00A410E5">
          <w:rPr>
            <w:noProof/>
            <w:webHidden/>
          </w:rPr>
          <w:fldChar w:fldCharType="end"/>
        </w:r>
      </w:hyperlink>
    </w:p>
    <w:p w14:paraId="5D1F31F5" w14:textId="0DDDCF7D" w:rsidR="00A410E5" w:rsidRDefault="00A410E5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488" w:history="1">
        <w:r w:rsidRPr="0005725F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</w:rPr>
          <w:t>Participants and planning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0CC76F2" w14:textId="1B10A8FF" w:rsidR="00A410E5" w:rsidRDefault="00A410E5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489" w:history="1">
        <w:r w:rsidRPr="0005725F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</w:rPr>
          <w:t>Transfer standards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FBEDD2" w14:textId="766DCB0F" w:rsidR="00A410E5" w:rsidRDefault="00A410E5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490" w:history="1">
        <w:r w:rsidRPr="0005725F">
          <w:rPr>
            <w:rStyle w:val="Hypertextovodkaz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</w:rPr>
          <w:t>Specifications of TS1: Coriolis flow meter mini CORI-FLOW ML120, 1 to 200 g/h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DF44D6" w14:textId="30264BD2" w:rsidR="00A410E5" w:rsidRDefault="00A410E5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491" w:history="1">
        <w:r w:rsidRPr="0005725F">
          <w:rPr>
            <w:rStyle w:val="Hypertextovodkaz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</w:rPr>
          <w:t>Specifications of TS2: Coriolis flow meter mini CORI-FLOWTM M14, 0.2 to 30 kg/h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D60C4C0" w14:textId="7E3FDDF4" w:rsidR="00A410E5" w:rsidRDefault="00A410E5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492" w:history="1">
        <w:r w:rsidRPr="0005725F">
          <w:rPr>
            <w:rStyle w:val="Hypertextovodkaz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</w:rPr>
          <w:t>Pictures of the transfer standards and flight case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468A8BB" w14:textId="593CD837" w:rsidR="00A410E5" w:rsidRDefault="00A410E5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493" w:history="1">
        <w:r w:rsidRPr="0005725F">
          <w:rPr>
            <w:rStyle w:val="Hypertextovodkaz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</w:rPr>
          <w:t>Plugging and connections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E1DE380" w14:textId="64976B80" w:rsidR="00A410E5" w:rsidRDefault="00A410E5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494" w:history="1">
        <w:r w:rsidRPr="0005725F">
          <w:rPr>
            <w:rStyle w:val="Hypertextovodkaz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</w:rPr>
          <w:t>Measurement procedure and calibration protocol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BAD8FF9" w14:textId="2E9969E8" w:rsidR="00A410E5" w:rsidRDefault="00A410E5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495" w:history="1">
        <w:r w:rsidRPr="0005725F">
          <w:rPr>
            <w:rStyle w:val="Hypertextovodkaz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</w:rPr>
          <w:t>Measured quantity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C792192" w14:textId="565797AB" w:rsidR="00A410E5" w:rsidRDefault="00A410E5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496" w:history="1">
        <w:r w:rsidRPr="0005725F">
          <w:rPr>
            <w:rStyle w:val="Hypertextovodkaz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</w:rPr>
          <w:t>Facilities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E0996E9" w14:textId="7420A965" w:rsidR="00A410E5" w:rsidRDefault="00A410E5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497" w:history="1">
        <w:r w:rsidRPr="0005725F">
          <w:rPr>
            <w:rStyle w:val="Hypertextovodkaz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</w:rPr>
          <w:t>Calibration protocol and measurement conditions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0EF3D50" w14:textId="5576D1ED" w:rsidR="00A410E5" w:rsidRDefault="00A410E5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498" w:history="1">
        <w:r w:rsidRPr="0005725F">
          <w:rPr>
            <w:rStyle w:val="Hypertextovodkaz"/>
            <w:noProof/>
          </w:rPr>
          <w:t>4.4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</w:rPr>
          <w:t>Zeroing procedure for TS1 and TS2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51009A5" w14:textId="7F53F060" w:rsidR="00A410E5" w:rsidRDefault="00A410E5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499" w:history="1">
        <w:r w:rsidRPr="0005725F">
          <w:rPr>
            <w:rStyle w:val="Hypertextovodkaz"/>
            <w:noProof/>
          </w:rPr>
          <w:t>4.5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</w:rPr>
          <w:t>Transfer standard 1: ML120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34EC1D9" w14:textId="04E5019A" w:rsidR="00A410E5" w:rsidRDefault="00A410E5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500" w:history="1">
        <w:r w:rsidRPr="0005725F">
          <w:rPr>
            <w:rStyle w:val="Hypertextovodkaz"/>
            <w:noProof/>
          </w:rPr>
          <w:t>4.6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</w:rPr>
          <w:t>Transfer standard 2: M14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F6FA9E7" w14:textId="6495436B" w:rsidR="00A410E5" w:rsidRDefault="00A410E5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501" w:history="1">
        <w:r w:rsidRPr="0005725F">
          <w:rPr>
            <w:rStyle w:val="Hypertextovodkaz"/>
            <w:noProof/>
          </w:rPr>
          <w:t>4.7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</w:rPr>
          <w:t>Reporting the results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9D5D75C" w14:textId="33663861" w:rsidR="00A410E5" w:rsidRDefault="00A410E5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502" w:history="1">
        <w:r w:rsidRPr="0005725F">
          <w:rPr>
            <w:rStyle w:val="Hypertextovodkaz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</w:rPr>
          <w:t>Measurement results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BB3D976" w14:textId="025BB291" w:rsidR="00A410E5" w:rsidRDefault="00A410E5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503" w:history="1">
        <w:r w:rsidRPr="0005725F">
          <w:rPr>
            <w:rStyle w:val="Hypertextovodkaz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</w:rPr>
          <w:t>Evaluation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DAA5311" w14:textId="0B9C92E4" w:rsidR="00A410E5" w:rsidRDefault="00A410E5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504" w:history="1">
        <w:r w:rsidRPr="0005725F">
          <w:rPr>
            <w:rStyle w:val="Hypertextovodkaz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</w:rPr>
          <w:t>Uncertainty u(ε</w:t>
        </w:r>
        <w:r w:rsidRPr="0005725F">
          <w:rPr>
            <w:rStyle w:val="Hypertextovodkaz"/>
            <w:noProof/>
            <w:vertAlign w:val="subscript"/>
          </w:rPr>
          <w:t>lab, i</w:t>
        </w:r>
        <w:r w:rsidRPr="0005725F">
          <w:rPr>
            <w:rStyle w:val="Hypertextovodkaz"/>
            <w:noProof/>
          </w:rPr>
          <w:t xml:space="preserve">) of laboratory reported value </w:t>
        </w:r>
        <w:r w:rsidRPr="0005725F">
          <w:rPr>
            <w:rStyle w:val="Hypertextovodkaz"/>
            <w:i/>
            <w:iCs/>
            <w:noProof/>
          </w:rPr>
          <w:t>ε</w:t>
        </w:r>
        <w:r w:rsidRPr="0005725F">
          <w:rPr>
            <w:rStyle w:val="Hypertextovodkaz"/>
            <w:i/>
            <w:iCs/>
            <w:noProof/>
            <w:vertAlign w:val="subscript"/>
          </w:rPr>
          <w:t>lab, 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A418CCB" w14:textId="5E9F7326" w:rsidR="00A410E5" w:rsidRDefault="00A410E5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505" w:history="1">
        <w:r w:rsidRPr="0005725F">
          <w:rPr>
            <w:rStyle w:val="Hypertextovodkaz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</w:rPr>
          <w:t>Determination of Comparison Reference Value (CRV) and its uncertainty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FC30483" w14:textId="3DB0BB8B" w:rsidR="00A410E5" w:rsidRDefault="00A410E5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506" w:history="1">
        <w:r w:rsidRPr="0005725F">
          <w:rPr>
            <w:rStyle w:val="Hypertextovodkaz"/>
            <w:noProof/>
            <w:lang w:eastAsia="en-US"/>
          </w:rPr>
          <w:t>6.3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  <w:lang w:eastAsia="en-US"/>
          </w:rPr>
          <w:t xml:space="preserve">Determination of normalized degree of equivalence </w:t>
        </w:r>
        <w:r w:rsidRPr="0005725F">
          <w:rPr>
            <w:rStyle w:val="Hypertextovodkaz"/>
            <w:i/>
            <w:iCs/>
            <w:noProof/>
            <w:lang w:eastAsia="en-US"/>
          </w:rPr>
          <w:t>E</w:t>
        </w:r>
        <w:r w:rsidRPr="0005725F">
          <w:rPr>
            <w:rStyle w:val="Hypertextovodkaz"/>
            <w:noProof/>
            <w:vertAlign w:val="subscript"/>
            <w:lang w:eastAsia="en-US"/>
          </w:rPr>
          <w:t>N, i</w:t>
        </w:r>
        <w:r w:rsidRPr="0005725F">
          <w:rPr>
            <w:rStyle w:val="Hypertextovodkaz"/>
            <w:noProof/>
            <w:lang w:eastAsia="en-US"/>
          </w:rPr>
          <w:t xml:space="preserve"> - Evaluation criterion 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790FB57" w14:textId="031948E8" w:rsidR="00A410E5" w:rsidRDefault="00A410E5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507" w:history="1">
        <w:r w:rsidRPr="0005725F">
          <w:rPr>
            <w:rStyle w:val="Hypertextovodkaz"/>
            <w:noProof/>
          </w:rPr>
          <w:t>6.4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</w:rPr>
          <w:t>Determination of calibration conclusiveness - Evaluation criteria B and 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0072C11" w14:textId="7790F3A4" w:rsidR="00A410E5" w:rsidRDefault="00A410E5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508" w:history="1">
        <w:r w:rsidRPr="0005725F">
          <w:rPr>
            <w:rStyle w:val="Hypertextovodkaz"/>
            <w:noProof/>
            <w:lang w:eastAsia="en-US"/>
          </w:rPr>
          <w:t>6.5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  <w:lang w:eastAsia="en-US"/>
          </w:rPr>
          <w:t>Final evaluation procedure of comparison data for decision table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E3284DB" w14:textId="5DE5A259" w:rsidR="00A410E5" w:rsidRDefault="00A410E5">
      <w:pPr>
        <w:pStyle w:val="Obsah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fr-FR" w:eastAsia="fr-FR"/>
          <w14:ligatures w14:val="standardContextual"/>
        </w:rPr>
      </w:pPr>
      <w:hyperlink w:anchor="_Toc193212509" w:history="1">
        <w:r w:rsidRPr="0005725F">
          <w:rPr>
            <w:rStyle w:val="Hypertextovodkaz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fr-FR" w:eastAsia="fr-FR"/>
            <w14:ligatures w14:val="standardContextual"/>
          </w:rPr>
          <w:tab/>
        </w:r>
        <w:r w:rsidRPr="0005725F">
          <w:rPr>
            <w:rStyle w:val="Hypertextovodkaz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_Toc193212509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BA9BF92" w14:textId="531FA8FD" w:rsidR="00D0614C" w:rsidRPr="006F035E" w:rsidRDefault="00F6415F" w:rsidP="00CE3D5C">
      <w:pPr>
        <w:pStyle w:val="Obsah1"/>
      </w:pPr>
      <w:r w:rsidRPr="006F035E">
        <w:fldChar w:fldCharType="end"/>
      </w:r>
      <w:r w:rsidR="00D0614C" w:rsidRPr="006F035E">
        <w:rPr>
          <w:b/>
          <w:bCs/>
          <w:sz w:val="32"/>
          <w:szCs w:val="32"/>
        </w:rPr>
        <w:br w:type="page"/>
      </w:r>
    </w:p>
    <w:p w14:paraId="4A271F00" w14:textId="53AD8F16" w:rsidR="00D0614C" w:rsidRDefault="00D0614C" w:rsidP="00CE3D5C">
      <w:pPr>
        <w:pStyle w:val="Nadpis1"/>
        <w:numPr>
          <w:ilvl w:val="0"/>
          <w:numId w:val="7"/>
        </w:numPr>
      </w:pPr>
      <w:bookmarkStart w:id="0" w:name="_Toc193212487"/>
      <w:r w:rsidRPr="006F035E">
        <w:lastRenderedPageBreak/>
        <w:t>Introduction</w:t>
      </w:r>
      <w:bookmarkEnd w:id="0"/>
    </w:p>
    <w:p w14:paraId="33CE13A9" w14:textId="4084E03C" w:rsidR="001E4880" w:rsidRPr="001E4880" w:rsidRDefault="001E4880" w:rsidP="001E4880">
      <w:pPr>
        <w:rPr>
          <w:lang w:val="en-GB"/>
        </w:rPr>
      </w:pPr>
      <w:r w:rsidRPr="001E4880">
        <w:rPr>
          <w:lang w:val="en-GB"/>
        </w:rPr>
        <w:t>The CIPM Mutual Recognition Arrangement (CIPM MRA) is the framework through which National Metrology Institutes demonstrate the international equivalence of measurement standards. In this context, BIPM publishes on its homepage a list of Calibration and Measurement Capabilities (CMC-lists) of the institutes which have signed the MRA. Calibration services can, however, only be included if a quality management system according to ISO standard 17025 is established. However, quality assurance and confidence in the capabilities of other laboratories can be ensured by the successful participation in a comparison in which the degree of equivalence with other national metrology institutes or calibration laboratories is determined.</w:t>
      </w:r>
    </w:p>
    <w:p w14:paraId="352BB5FC" w14:textId="216CE254" w:rsidR="003B43E0" w:rsidRPr="006F035E" w:rsidRDefault="00497784" w:rsidP="00CE3D5C">
      <w:r w:rsidRPr="006F035E">
        <w:t xml:space="preserve">A comparison is organized in order to determine the degree of equivalence of standards for </w:t>
      </w:r>
      <w:r w:rsidR="00E22F04" w:rsidRPr="006F035E">
        <w:t xml:space="preserve">micro </w:t>
      </w:r>
      <w:r w:rsidRPr="006F035E">
        <w:t xml:space="preserve">liquid flow rates </w:t>
      </w:r>
      <w:r w:rsidRPr="006F035E">
        <w:rPr>
          <w:rFonts w:cs="Arial"/>
        </w:rPr>
        <w:t>under static load changes</w:t>
      </w:r>
      <w:r w:rsidRPr="006F035E">
        <w:t xml:space="preserve"> in the range of </w:t>
      </w:r>
      <w:r w:rsidR="00E22F04" w:rsidRPr="006F035E">
        <w:t xml:space="preserve">1 g/h </w:t>
      </w:r>
      <w:r w:rsidR="00E6026C">
        <w:t xml:space="preserve">to </w:t>
      </w:r>
      <w:r w:rsidR="00E22F04" w:rsidRPr="006F035E">
        <w:t xml:space="preserve">30 000 g/h </w:t>
      </w:r>
      <w:r w:rsidR="00E6026C">
        <w:t xml:space="preserve">at </w:t>
      </w:r>
      <w:r w:rsidRPr="006F035E">
        <w:t xml:space="preserve">ambient pressure and temperature. </w:t>
      </w:r>
      <w:r w:rsidR="003B43E0" w:rsidRPr="006F035E">
        <w:t>Two Coriolis Mass Flow Meters will be used as Transfer Standards</w:t>
      </w:r>
      <w:r w:rsidR="00E6026C">
        <w:t xml:space="preserve"> (TS)</w:t>
      </w:r>
      <w:r w:rsidR="003B43E0" w:rsidRPr="006F035E">
        <w:t>:</w:t>
      </w:r>
    </w:p>
    <w:p w14:paraId="3BE5BC37" w14:textId="158FED44" w:rsidR="00E22F04" w:rsidRPr="006F035E" w:rsidRDefault="00E6026C" w:rsidP="00CE3D5C">
      <w:pPr>
        <w:pStyle w:val="Odstavecseseznamem"/>
        <w:numPr>
          <w:ilvl w:val="0"/>
          <w:numId w:val="31"/>
        </w:numPr>
      </w:pPr>
      <w:r>
        <w:t>TS1: a</w:t>
      </w:r>
      <w:r w:rsidR="00E22F04" w:rsidRPr="006F035E">
        <w:t xml:space="preserve"> Bronkhorst Low Flow Coriolis Mass Flow Meter, mini CORI-FLOW ML120, for mass flow rates in range from 1</w:t>
      </w:r>
      <w:r w:rsidR="00EE34D2" w:rsidRPr="006F035E">
        <w:t xml:space="preserve"> to 200</w:t>
      </w:r>
      <w:r>
        <w:t> </w:t>
      </w:r>
      <w:r w:rsidR="00EE34D2" w:rsidRPr="006F035E">
        <w:t>g/h</w:t>
      </w:r>
    </w:p>
    <w:p w14:paraId="7A2C7FE4" w14:textId="21E85201" w:rsidR="001E4880" w:rsidRDefault="00E6026C" w:rsidP="00A410E5">
      <w:pPr>
        <w:pStyle w:val="Odstavecseseznamem"/>
        <w:numPr>
          <w:ilvl w:val="0"/>
          <w:numId w:val="31"/>
        </w:numPr>
      </w:pPr>
      <w:r>
        <w:t>TS2: a</w:t>
      </w:r>
      <w:r w:rsidR="00E22F04" w:rsidRPr="006F035E">
        <w:t xml:space="preserve"> Bronkhorst Low Flow Coriolis Mass Flow Meter, </w:t>
      </w:r>
      <w:bookmarkStart w:id="1" w:name="_Hlk178543287"/>
      <w:r w:rsidR="00E22F04" w:rsidRPr="006F035E">
        <w:t>mini CORI-FLOW M14</w:t>
      </w:r>
      <w:bookmarkEnd w:id="1"/>
      <w:r w:rsidR="00E22F04" w:rsidRPr="006F035E">
        <w:t xml:space="preserve"> for mass flow rates in range from 500 to 30</w:t>
      </w:r>
      <w:r w:rsidR="008D4697">
        <w:t xml:space="preserve"> </w:t>
      </w:r>
      <w:r w:rsidR="00E22F04" w:rsidRPr="006F035E">
        <w:t>000</w:t>
      </w:r>
      <w:r>
        <w:t> </w:t>
      </w:r>
      <w:r w:rsidR="00E22F04" w:rsidRPr="006F035E">
        <w:t>g/h</w:t>
      </w:r>
      <w:r>
        <w:t>.</w:t>
      </w:r>
    </w:p>
    <w:p w14:paraId="0F55D8ED" w14:textId="19D8F9AC" w:rsidR="00D0614C" w:rsidRPr="006F035E" w:rsidRDefault="00D0614C" w:rsidP="00CE3D5C">
      <w:pPr>
        <w:pStyle w:val="Nadpis1"/>
      </w:pPr>
      <w:bookmarkStart w:id="2" w:name="_Toc193212488"/>
      <w:r w:rsidRPr="006F035E">
        <w:t>Participants</w:t>
      </w:r>
      <w:r w:rsidR="00B95C88" w:rsidRPr="006F035E">
        <w:t xml:space="preserve"> and planning</w:t>
      </w:r>
      <w:bookmarkEnd w:id="2"/>
    </w:p>
    <w:p w14:paraId="50FD340D" w14:textId="78352F57" w:rsidR="0085048B" w:rsidRDefault="00D0614C" w:rsidP="0085048B">
      <w:r w:rsidRPr="006F035E">
        <w:t>The</w:t>
      </w:r>
      <w:r w:rsidR="00B229A8" w:rsidRPr="006F035E">
        <w:t xml:space="preserve"> </w:t>
      </w:r>
      <w:r w:rsidRPr="006F035E">
        <w:t>participants</w:t>
      </w:r>
      <w:r w:rsidR="00917F8A" w:rsidRPr="006F035E">
        <w:t xml:space="preserve"> and planning</w:t>
      </w:r>
      <w:r w:rsidRPr="006F035E">
        <w:t xml:space="preserve"> are shown in </w:t>
      </w:r>
      <w:r w:rsidR="00B229A8" w:rsidRPr="006F035E">
        <w:t>T</w:t>
      </w:r>
      <w:r w:rsidRPr="006F035E">
        <w:t>able 1</w:t>
      </w:r>
      <w:r w:rsidR="00A43279" w:rsidRPr="006F035E">
        <w:t xml:space="preserve"> based on availability of the transfer standards.</w:t>
      </w:r>
      <w:r w:rsidR="00E6026C">
        <w:rPr>
          <w:color w:val="BFBFBF" w:themeColor="background1" w:themeShade="BF"/>
        </w:rPr>
        <w:t xml:space="preserve"> </w:t>
      </w:r>
      <w:r w:rsidR="002D05A0" w:rsidRPr="006F035E">
        <w:t>Each laboratory is requested to arr</w:t>
      </w:r>
      <w:r w:rsidR="003878A2" w:rsidRPr="006F035E">
        <w:t>ange the transport to the next I</w:t>
      </w:r>
      <w:r w:rsidR="002D05A0" w:rsidRPr="006F035E">
        <w:t>nstitute thus pays for the cost of shipment of the package to the next laboratory.</w:t>
      </w:r>
      <w:r w:rsidR="00D168BE" w:rsidRPr="006F035E">
        <w:t xml:space="preserve"> </w:t>
      </w:r>
      <w:r w:rsidR="00D168BE" w:rsidRPr="0043555B">
        <w:rPr>
          <w:u w:val="single"/>
        </w:rPr>
        <w:t>The package ha</w:t>
      </w:r>
      <w:r w:rsidR="007E19EB" w:rsidRPr="0043555B">
        <w:rPr>
          <w:u w:val="single"/>
        </w:rPr>
        <w:t>s</w:t>
      </w:r>
      <w:r w:rsidR="00D168BE" w:rsidRPr="0043555B">
        <w:rPr>
          <w:u w:val="single"/>
        </w:rPr>
        <w:t xml:space="preserve"> to be sent by road</w:t>
      </w:r>
      <w:r w:rsidR="00492E62">
        <w:rPr>
          <w:u w:val="single"/>
        </w:rPr>
        <w:t xml:space="preserve"> by a </w:t>
      </w:r>
      <w:r w:rsidR="00492E62" w:rsidRPr="00492E62">
        <w:rPr>
          <w:u w:val="single"/>
          <w:lang w:val="en-GB"/>
        </w:rPr>
        <w:t>logistics company (e.g. DHL)</w:t>
      </w:r>
      <w:r w:rsidR="00D168BE" w:rsidRPr="0043555B">
        <w:t>, not by air.</w:t>
      </w:r>
      <w:r w:rsidR="00892F59" w:rsidRPr="0043555B">
        <w:t xml:space="preserve"> It is advised to include in each shipment order an insurance covering the hardware cost </w:t>
      </w:r>
      <w:r w:rsidR="00892F59" w:rsidRPr="0039694F">
        <w:t>of</w:t>
      </w:r>
      <w:r w:rsidR="00054542" w:rsidRPr="0039694F">
        <w:t xml:space="preserve"> 15</w:t>
      </w:r>
      <w:r w:rsidR="00492E62" w:rsidRPr="0039694F">
        <w:t xml:space="preserve"> </w:t>
      </w:r>
      <w:r w:rsidR="00054542" w:rsidRPr="0039694F">
        <w:t>000</w:t>
      </w:r>
      <w:r w:rsidR="00892F59" w:rsidRPr="0039694F">
        <w:t xml:space="preserve"> </w:t>
      </w:r>
      <w:r w:rsidR="00054542" w:rsidRPr="0039694F">
        <w:t>€ for the</w:t>
      </w:r>
      <w:r w:rsidR="00054542" w:rsidRPr="00FE44D6">
        <w:t xml:space="preserve"> package </w:t>
      </w:r>
      <w:r w:rsidR="003878A2" w:rsidRPr="00FE44D6">
        <w:t>including</w:t>
      </w:r>
      <w:r w:rsidR="00054542" w:rsidRPr="00FE44D6">
        <w:t xml:space="preserve"> </w:t>
      </w:r>
      <w:r w:rsidR="0043555B" w:rsidRPr="00FE44D6">
        <w:t>Mini CORI-FLOW ML120 or M14</w:t>
      </w:r>
      <w:r w:rsidR="003878A2" w:rsidRPr="00FE44D6">
        <w:t>.</w:t>
      </w:r>
    </w:p>
    <w:p w14:paraId="35A3CE72" w14:textId="59D2D52F" w:rsidR="00853691" w:rsidRDefault="00853691" w:rsidP="0085048B">
      <w:pPr>
        <w:rPr>
          <w:lang w:val="en-GB"/>
        </w:rPr>
      </w:pPr>
      <w:r w:rsidRPr="00853691">
        <w:rPr>
          <w:lang w:val="en-GB"/>
        </w:rPr>
        <w:t>After arrival of the transfer standards, the participating institute shall inform the pilot institute</w:t>
      </w:r>
      <w:r>
        <w:rPr>
          <w:lang w:val="en-GB"/>
        </w:rPr>
        <w:t>s</w:t>
      </w:r>
      <w:r w:rsidRPr="00853691">
        <w:rPr>
          <w:lang w:val="en-GB"/>
        </w:rPr>
        <w:t xml:space="preserve"> by e-mail</w:t>
      </w:r>
      <w:r>
        <w:rPr>
          <w:lang w:val="en-GB"/>
        </w:rPr>
        <w:t xml:space="preserve"> (</w:t>
      </w:r>
      <w:hyperlink r:id="rId10" w:history="1">
        <w:r w:rsidRPr="00772651">
          <w:rPr>
            <w:rStyle w:val="Hypertextovodkaz"/>
            <w:lang w:val="en-GB"/>
          </w:rPr>
          <w:t>mbenkova@cmi.gov.cz</w:t>
        </w:r>
      </w:hyperlink>
      <w:r>
        <w:rPr>
          <w:lang w:val="en-GB"/>
        </w:rPr>
        <w:t xml:space="preserve">, </w:t>
      </w:r>
      <w:hyperlink r:id="rId11" w:history="1">
        <w:r w:rsidRPr="00772651">
          <w:rPr>
            <w:rStyle w:val="Hypertextovodkaz"/>
            <w:lang w:val="en-GB"/>
          </w:rPr>
          <w:t>kevin.romieu@cetiat.fr</w:t>
        </w:r>
      </w:hyperlink>
      <w:r>
        <w:rPr>
          <w:lang w:val="en-GB"/>
        </w:rPr>
        <w:t xml:space="preserve"> )</w:t>
      </w:r>
      <w:r w:rsidRPr="00853691">
        <w:rPr>
          <w:lang w:val="en-GB"/>
        </w:rPr>
        <w:t xml:space="preserve">. Immediately after receipt a visual inspection should be made. The participating institute shall check the instruments for any damage. </w:t>
      </w:r>
      <w:r>
        <w:rPr>
          <w:lang w:val="en-GB"/>
        </w:rPr>
        <w:t>The</w:t>
      </w:r>
      <w:r w:rsidRPr="00853691">
        <w:rPr>
          <w:lang w:val="en-GB"/>
        </w:rPr>
        <w:t xml:space="preserve"> pilot</w:t>
      </w:r>
      <w:r>
        <w:rPr>
          <w:lang w:val="en-GB"/>
        </w:rPr>
        <w:t>s</w:t>
      </w:r>
      <w:r w:rsidRPr="00853691">
        <w:rPr>
          <w:lang w:val="en-GB"/>
        </w:rPr>
        <w:t xml:space="preserve"> for should be informed about the arrival and departure dates and about the results of the visual inspection as soon as possible, by e-mail. In addition a digital photo will be taken.</w:t>
      </w:r>
    </w:p>
    <w:p w14:paraId="5656DD30" w14:textId="7A406AA0" w:rsidR="0085048B" w:rsidRPr="00F21056" w:rsidRDefault="0085048B" w:rsidP="0085048B">
      <w:pPr>
        <w:pStyle w:val="Titulek"/>
        <w:keepNext/>
        <w:rPr>
          <w:lang w:val="en-US"/>
        </w:rPr>
      </w:pPr>
      <w:r w:rsidRPr="00F21056">
        <w:rPr>
          <w:lang w:val="en-US"/>
        </w:rPr>
        <w:lastRenderedPageBreak/>
        <w:t xml:space="preserve">Table </w:t>
      </w:r>
      <w:r>
        <w:fldChar w:fldCharType="begin"/>
      </w:r>
      <w:r w:rsidRPr="00F21056">
        <w:rPr>
          <w:lang w:val="en-US"/>
        </w:rPr>
        <w:instrText xml:space="preserve"> SEQ Table \* ARABIC </w:instrText>
      </w:r>
      <w:r>
        <w:fldChar w:fldCharType="separate"/>
      </w:r>
      <w:r w:rsidRPr="00F21056">
        <w:rPr>
          <w:noProof/>
          <w:lang w:val="en-US"/>
        </w:rPr>
        <w:t>1</w:t>
      </w:r>
      <w:r>
        <w:fldChar w:fldCharType="end"/>
      </w:r>
      <w:r w:rsidRPr="00F21056">
        <w:rPr>
          <w:lang w:val="en-US"/>
        </w:rPr>
        <w:t>: Participants and time schedule for  partners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1"/>
        <w:gridCol w:w="1114"/>
        <w:gridCol w:w="2309"/>
        <w:gridCol w:w="2028"/>
        <w:gridCol w:w="1353"/>
        <w:gridCol w:w="1445"/>
      </w:tblGrid>
      <w:tr w:rsidR="00FD4AF4" w:rsidRPr="00D279A6" w14:paraId="24BFCD37" w14:textId="77777777" w:rsidTr="0042368F">
        <w:trPr>
          <w:trHeight w:val="326"/>
          <w:jc w:val="center"/>
        </w:trPr>
        <w:tc>
          <w:tcPr>
            <w:tcW w:w="811" w:type="dxa"/>
            <w:shd w:val="clear" w:color="auto" w:fill="C6D9F1"/>
            <w:vAlign w:val="center"/>
          </w:tcPr>
          <w:p w14:paraId="46B87210" w14:textId="77777777" w:rsidR="00FD4AF4" w:rsidRPr="00D279A6" w:rsidRDefault="00FD4AF4" w:rsidP="00A410E5">
            <w:pPr>
              <w:pStyle w:val="Zkladntext"/>
              <w:keepNext/>
              <w:spacing w:after="0"/>
              <w:jc w:val="center"/>
              <w:rPr>
                <w:rFonts w:asciiTheme="minorHAnsi" w:hAnsiTheme="minorHAnsi" w:cstheme="minorHAnsi"/>
              </w:rPr>
            </w:pPr>
            <w:bookmarkStart w:id="3" w:name="_Hlk178938375"/>
            <w:r w:rsidRPr="00D279A6">
              <w:rPr>
                <w:rFonts w:asciiTheme="minorHAnsi" w:eastAsia="Arial Unicode MS" w:hAnsiTheme="minorHAnsi" w:cstheme="minorHAnsi"/>
              </w:rPr>
              <w:t>Institute</w:t>
            </w:r>
          </w:p>
        </w:tc>
        <w:tc>
          <w:tcPr>
            <w:tcW w:w="0" w:type="auto"/>
            <w:shd w:val="clear" w:color="auto" w:fill="C6D9F1"/>
            <w:vAlign w:val="center"/>
          </w:tcPr>
          <w:p w14:paraId="2CFC9AAB" w14:textId="77777777" w:rsidR="00FD4AF4" w:rsidRPr="00D279A6" w:rsidRDefault="00FD4AF4" w:rsidP="00D279A6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eastAsia="Arial Unicode MS" w:hAnsiTheme="minorHAnsi" w:cstheme="minorHAnsi"/>
              </w:rPr>
              <w:t>Country</w:t>
            </w:r>
          </w:p>
        </w:tc>
        <w:tc>
          <w:tcPr>
            <w:tcW w:w="2309" w:type="dxa"/>
            <w:shd w:val="clear" w:color="auto" w:fill="C6D9F1"/>
            <w:vAlign w:val="center"/>
          </w:tcPr>
          <w:p w14:paraId="71C65734" w14:textId="77777777" w:rsidR="00FD4AF4" w:rsidRPr="00D279A6" w:rsidRDefault="00FD4AF4" w:rsidP="00D279A6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Shipping address</w:t>
            </w:r>
          </w:p>
        </w:tc>
        <w:tc>
          <w:tcPr>
            <w:tcW w:w="2028" w:type="dxa"/>
            <w:shd w:val="clear" w:color="auto" w:fill="C6D9F1"/>
            <w:vAlign w:val="center"/>
          </w:tcPr>
          <w:p w14:paraId="610C51DC" w14:textId="77777777" w:rsidR="00FD4AF4" w:rsidRPr="00D279A6" w:rsidRDefault="00FD4AF4" w:rsidP="00D279A6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Contact/mail/phone</w:t>
            </w:r>
          </w:p>
        </w:tc>
        <w:tc>
          <w:tcPr>
            <w:tcW w:w="1353" w:type="dxa"/>
            <w:shd w:val="clear" w:color="auto" w:fill="C6D9F1"/>
            <w:vAlign w:val="center"/>
          </w:tcPr>
          <w:p w14:paraId="30AD5B62" w14:textId="6D11B0FC" w:rsidR="00FD4AF4" w:rsidRPr="00D279A6" w:rsidRDefault="00D279A6" w:rsidP="00D279A6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R</w:t>
            </w:r>
            <w:r w:rsidR="00FD4AF4" w:rsidRPr="00D279A6">
              <w:rPr>
                <w:rFonts w:asciiTheme="minorHAnsi" w:hAnsiTheme="minorHAnsi" w:cstheme="minorHAnsi"/>
              </w:rPr>
              <w:t>emarks</w:t>
            </w:r>
          </w:p>
        </w:tc>
        <w:tc>
          <w:tcPr>
            <w:tcW w:w="1445" w:type="dxa"/>
            <w:shd w:val="clear" w:color="auto" w:fill="C6D9F1"/>
            <w:vAlign w:val="center"/>
          </w:tcPr>
          <w:p w14:paraId="05979F1D" w14:textId="43C8B9C9" w:rsidR="00FD4AF4" w:rsidRPr="00D279A6" w:rsidRDefault="00D279A6" w:rsidP="00D279A6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D</w:t>
            </w:r>
            <w:r w:rsidR="00FD4AF4" w:rsidRPr="00D279A6">
              <w:rPr>
                <w:rFonts w:asciiTheme="minorHAnsi" w:hAnsiTheme="minorHAnsi" w:cstheme="minorHAnsi"/>
              </w:rPr>
              <w:t>ate</w:t>
            </w:r>
          </w:p>
        </w:tc>
      </w:tr>
      <w:tr w:rsidR="00FD4AF4" w:rsidRPr="00D279A6" w14:paraId="52080A7A" w14:textId="77777777" w:rsidTr="0042368F">
        <w:trPr>
          <w:trHeight w:val="600"/>
          <w:jc w:val="center"/>
        </w:trPr>
        <w:tc>
          <w:tcPr>
            <w:tcW w:w="811" w:type="dxa"/>
            <w:vAlign w:val="center"/>
          </w:tcPr>
          <w:p w14:paraId="77E65FDA" w14:textId="7B441B63" w:rsidR="00FD4AF4" w:rsidRPr="00D279A6" w:rsidRDefault="00FD4AF4" w:rsidP="00A410E5">
            <w:pPr>
              <w:pStyle w:val="Zkladntext"/>
              <w:keepNext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CETIAT</w:t>
            </w:r>
          </w:p>
        </w:tc>
        <w:tc>
          <w:tcPr>
            <w:tcW w:w="0" w:type="auto"/>
            <w:vAlign w:val="center"/>
          </w:tcPr>
          <w:p w14:paraId="5BF819DE" w14:textId="77777777" w:rsidR="00FD4AF4" w:rsidRPr="00D279A6" w:rsidRDefault="00FD4AF4" w:rsidP="00D279A6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France</w:t>
            </w:r>
          </w:p>
        </w:tc>
        <w:tc>
          <w:tcPr>
            <w:tcW w:w="2309" w:type="dxa"/>
            <w:vAlign w:val="center"/>
          </w:tcPr>
          <w:p w14:paraId="5805343C" w14:textId="77777777" w:rsidR="00FD4AF4" w:rsidRPr="00D279A6" w:rsidRDefault="00FD4AF4" w:rsidP="00D279A6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  <w:lang w:val="fr-FR"/>
              </w:rPr>
            </w:pPr>
            <w:r w:rsidRPr="00D279A6">
              <w:rPr>
                <w:rFonts w:asciiTheme="minorHAnsi" w:hAnsiTheme="minorHAnsi" w:cstheme="minorHAnsi"/>
                <w:lang w:val="fr-FR"/>
              </w:rPr>
              <w:t>CETIAT</w:t>
            </w:r>
          </w:p>
          <w:p w14:paraId="5AB1D2CA" w14:textId="77777777" w:rsidR="00FD4AF4" w:rsidRPr="00D279A6" w:rsidRDefault="00FD4AF4" w:rsidP="00D279A6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  <w:lang w:val="fr-FR"/>
              </w:rPr>
            </w:pPr>
            <w:r w:rsidRPr="00D279A6">
              <w:rPr>
                <w:rFonts w:asciiTheme="minorHAnsi" w:hAnsiTheme="minorHAnsi" w:cstheme="minorHAnsi"/>
                <w:lang w:val="fr-FR"/>
              </w:rPr>
              <w:t>Laboratoire Micro-Débitmètrie Liquide</w:t>
            </w:r>
          </w:p>
          <w:p w14:paraId="72F065EC" w14:textId="77777777" w:rsidR="00FD4AF4" w:rsidRPr="00D279A6" w:rsidRDefault="00FD4AF4" w:rsidP="00D279A6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  <w:lang w:val="fr-FR"/>
              </w:rPr>
            </w:pPr>
            <w:r w:rsidRPr="00D279A6">
              <w:rPr>
                <w:rFonts w:asciiTheme="minorHAnsi" w:hAnsiTheme="minorHAnsi" w:cstheme="minorHAnsi"/>
                <w:lang w:val="fr-FR"/>
              </w:rPr>
              <w:t>Domaine Scientifique de la Doua 54, boulevard Niels Bohr</w:t>
            </w:r>
          </w:p>
          <w:p w14:paraId="0B830713" w14:textId="77777777" w:rsidR="00FD4AF4" w:rsidRPr="00D279A6" w:rsidRDefault="00FD4AF4" w:rsidP="00D279A6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FR - 69100 Villeurbanne</w:t>
            </w:r>
          </w:p>
          <w:p w14:paraId="3CB30C97" w14:textId="77777777" w:rsidR="00FD4AF4" w:rsidRPr="00D279A6" w:rsidRDefault="00FD4AF4" w:rsidP="00D279A6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FRANCE</w:t>
            </w:r>
          </w:p>
        </w:tc>
        <w:tc>
          <w:tcPr>
            <w:tcW w:w="2028" w:type="dxa"/>
            <w:vAlign w:val="center"/>
          </w:tcPr>
          <w:p w14:paraId="13DDF344" w14:textId="77777777" w:rsidR="00FD4AF4" w:rsidRDefault="0021561B" w:rsidP="00D279A6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Kevin Romieu</w:t>
            </w:r>
          </w:p>
          <w:p w14:paraId="65F65B4B" w14:textId="2FAB654F" w:rsidR="00853691" w:rsidRPr="00D279A6" w:rsidRDefault="00853691" w:rsidP="00D279A6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53691">
              <w:rPr>
                <w:rFonts w:asciiTheme="minorHAnsi" w:hAnsiTheme="minorHAnsi" w:cstheme="minorHAnsi"/>
              </w:rPr>
              <w:t>kevin.romieu@cetiat.fr</w:t>
            </w:r>
          </w:p>
        </w:tc>
        <w:tc>
          <w:tcPr>
            <w:tcW w:w="1353" w:type="dxa"/>
            <w:vAlign w:val="center"/>
          </w:tcPr>
          <w:p w14:paraId="371946C1" w14:textId="4BA05EC4" w:rsidR="00FD4AF4" w:rsidRPr="00D279A6" w:rsidRDefault="00FD4AF4" w:rsidP="00D279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5FBC3347" w14:textId="4E72F5DC" w:rsidR="00FD4AF4" w:rsidRPr="00D279A6" w:rsidRDefault="00D30AB5" w:rsidP="00D279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9A6"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r w:rsidR="0042368F">
              <w:rPr>
                <w:rFonts w:asciiTheme="minorHAnsi" w:hAnsiTheme="minorHAnsi" w:cstheme="minorHAnsi"/>
                <w:sz w:val="20"/>
                <w:szCs w:val="20"/>
              </w:rPr>
              <w:t>/March</w:t>
            </w:r>
            <w:r w:rsidRPr="00D279A6">
              <w:rPr>
                <w:rFonts w:asciiTheme="minorHAnsi" w:hAnsiTheme="minorHAnsi" w:cstheme="minorHAnsi"/>
                <w:sz w:val="20"/>
                <w:szCs w:val="20"/>
              </w:rPr>
              <w:t xml:space="preserve"> 2025</w:t>
            </w:r>
          </w:p>
        </w:tc>
      </w:tr>
      <w:tr w:rsidR="00961B63" w:rsidRPr="00D279A6" w14:paraId="709FC11E" w14:textId="77777777" w:rsidTr="0042368F">
        <w:trPr>
          <w:trHeight w:val="600"/>
          <w:jc w:val="center"/>
        </w:trPr>
        <w:tc>
          <w:tcPr>
            <w:tcW w:w="811" w:type="dxa"/>
            <w:vAlign w:val="center"/>
          </w:tcPr>
          <w:p w14:paraId="55BE9CB9" w14:textId="7D9BC875" w:rsidR="00961B63" w:rsidRPr="00D279A6" w:rsidRDefault="00961B63" w:rsidP="00A410E5">
            <w:pPr>
              <w:pStyle w:val="Zkladntext"/>
              <w:keepNext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CMI</w:t>
            </w:r>
          </w:p>
        </w:tc>
        <w:tc>
          <w:tcPr>
            <w:tcW w:w="0" w:type="auto"/>
            <w:vAlign w:val="center"/>
          </w:tcPr>
          <w:p w14:paraId="0C8F4A4A" w14:textId="5C661F9F" w:rsidR="00961B63" w:rsidRPr="00D279A6" w:rsidRDefault="00961B63" w:rsidP="00D279A6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Czech Republic</w:t>
            </w:r>
          </w:p>
        </w:tc>
        <w:tc>
          <w:tcPr>
            <w:tcW w:w="2309" w:type="dxa"/>
            <w:vAlign w:val="center"/>
          </w:tcPr>
          <w:p w14:paraId="5B9B6380" w14:textId="77777777" w:rsidR="00961B63" w:rsidRPr="00F21056" w:rsidRDefault="00961B63" w:rsidP="00D279A6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F21056">
              <w:rPr>
                <w:rFonts w:asciiTheme="minorHAnsi" w:hAnsiTheme="minorHAnsi" w:cstheme="minorHAnsi"/>
                <w:lang w:val="pl-PL"/>
              </w:rPr>
              <w:t>Czech Metrology Institute</w:t>
            </w:r>
          </w:p>
          <w:p w14:paraId="7021ADA1" w14:textId="313D1FB6" w:rsidR="00961B63" w:rsidRPr="00F21056" w:rsidRDefault="00961B63" w:rsidP="00D279A6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F21056">
              <w:rPr>
                <w:rFonts w:asciiTheme="minorHAnsi" w:hAnsiTheme="minorHAnsi" w:cstheme="minorHAnsi"/>
                <w:lang w:val="pl-PL"/>
              </w:rPr>
              <w:t>Okruzni 31, 63800 Brno</w:t>
            </w:r>
          </w:p>
        </w:tc>
        <w:tc>
          <w:tcPr>
            <w:tcW w:w="2028" w:type="dxa"/>
            <w:vAlign w:val="center"/>
          </w:tcPr>
          <w:p w14:paraId="0CD3F60D" w14:textId="77777777" w:rsidR="00961B63" w:rsidRDefault="00961B63" w:rsidP="00D279A6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Miroslava Benkova</w:t>
            </w:r>
          </w:p>
          <w:p w14:paraId="570EF4E5" w14:textId="3E560143" w:rsidR="00853691" w:rsidRPr="00D279A6" w:rsidRDefault="00853691" w:rsidP="00D279A6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hyperlink r:id="rId12" w:history="1">
              <w:r w:rsidRPr="00386DCC">
                <w:rPr>
                  <w:rFonts w:asciiTheme="minorHAnsi" w:hAnsiTheme="minorHAnsi" w:cstheme="minorHAnsi"/>
                </w:rPr>
                <w:t>mbenkova@cmi.gov.cz</w:t>
              </w:r>
            </w:hyperlink>
          </w:p>
        </w:tc>
        <w:tc>
          <w:tcPr>
            <w:tcW w:w="1353" w:type="dxa"/>
            <w:vAlign w:val="center"/>
          </w:tcPr>
          <w:p w14:paraId="73D5D552" w14:textId="060589F8" w:rsidR="00961B63" w:rsidRPr="00D279A6" w:rsidRDefault="00961B63" w:rsidP="00D279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6D65ACB6" w14:textId="6C84CC74" w:rsidR="00961B63" w:rsidRPr="00D279A6" w:rsidRDefault="0042368F" w:rsidP="00D279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April</w:t>
            </w:r>
            <w:r w:rsidR="00D30AB5" w:rsidRPr="00D279A6">
              <w:rPr>
                <w:rFonts w:asciiTheme="minorHAnsi" w:hAnsiTheme="minorHAnsi" w:cstheme="minorHAnsi"/>
                <w:sz w:val="20"/>
                <w:szCs w:val="20"/>
              </w:rPr>
              <w:t xml:space="preserve"> 2025</w:t>
            </w:r>
          </w:p>
        </w:tc>
      </w:tr>
      <w:tr w:rsidR="0042368F" w:rsidRPr="00D279A6" w14:paraId="394BE149" w14:textId="77777777" w:rsidTr="0042368F">
        <w:trPr>
          <w:trHeight w:val="600"/>
          <w:jc w:val="center"/>
        </w:trPr>
        <w:tc>
          <w:tcPr>
            <w:tcW w:w="811" w:type="dxa"/>
            <w:vAlign w:val="center"/>
          </w:tcPr>
          <w:p w14:paraId="372A3F15" w14:textId="5C3A0123" w:rsidR="0042368F" w:rsidRPr="00D279A6" w:rsidRDefault="0042368F" w:rsidP="00A410E5">
            <w:pPr>
              <w:pStyle w:val="Zkladntext"/>
              <w:keepNext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METAS</w:t>
            </w:r>
          </w:p>
        </w:tc>
        <w:tc>
          <w:tcPr>
            <w:tcW w:w="0" w:type="auto"/>
            <w:vAlign w:val="center"/>
          </w:tcPr>
          <w:p w14:paraId="6AC2DCC5" w14:textId="384A7E79" w:rsidR="0042368F" w:rsidRPr="00D279A6" w:rsidRDefault="0042368F" w:rsidP="0042368F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Switzerland</w:t>
            </w:r>
          </w:p>
        </w:tc>
        <w:tc>
          <w:tcPr>
            <w:tcW w:w="2309" w:type="dxa"/>
            <w:vAlign w:val="center"/>
          </w:tcPr>
          <w:p w14:paraId="509C7118" w14:textId="1CE2AADF" w:rsidR="0042368F" w:rsidRPr="00D279A6" w:rsidRDefault="0042368F" w:rsidP="0042368F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Federal Institute of Metrology</w:t>
            </w:r>
            <w:r w:rsidRPr="00D279A6">
              <w:rPr>
                <w:rFonts w:asciiTheme="minorHAnsi" w:hAnsiTheme="minorHAnsi" w:cstheme="minorHAnsi"/>
              </w:rPr>
              <w:br/>
              <w:t>Hugo Bissig</w:t>
            </w:r>
            <w:r w:rsidRPr="00D279A6">
              <w:rPr>
                <w:rFonts w:asciiTheme="minorHAnsi" w:hAnsiTheme="minorHAnsi" w:cstheme="minorHAnsi"/>
              </w:rPr>
              <w:br/>
            </w:r>
            <w:proofErr w:type="spellStart"/>
            <w:r w:rsidRPr="00D279A6">
              <w:rPr>
                <w:rFonts w:asciiTheme="minorHAnsi" w:hAnsiTheme="minorHAnsi" w:cstheme="minorHAnsi"/>
              </w:rPr>
              <w:t>Lindenweg</w:t>
            </w:r>
            <w:proofErr w:type="spellEnd"/>
            <w:r w:rsidRPr="00D279A6">
              <w:rPr>
                <w:rFonts w:asciiTheme="minorHAnsi" w:hAnsiTheme="minorHAnsi" w:cstheme="minorHAnsi"/>
              </w:rPr>
              <w:t xml:space="preserve"> 50</w:t>
            </w:r>
            <w:r w:rsidRPr="00D279A6">
              <w:rPr>
                <w:rFonts w:asciiTheme="minorHAnsi" w:hAnsiTheme="minorHAnsi" w:cstheme="minorHAnsi"/>
              </w:rPr>
              <w:br/>
              <w:t>CH-3003 Bern-</w:t>
            </w:r>
            <w:proofErr w:type="spellStart"/>
            <w:r w:rsidRPr="00D279A6">
              <w:rPr>
                <w:rFonts w:asciiTheme="minorHAnsi" w:hAnsiTheme="minorHAnsi" w:cstheme="minorHAnsi"/>
              </w:rPr>
              <w:t>Wabern</w:t>
            </w:r>
            <w:proofErr w:type="spellEnd"/>
          </w:p>
        </w:tc>
        <w:tc>
          <w:tcPr>
            <w:tcW w:w="2028" w:type="dxa"/>
            <w:vAlign w:val="center"/>
          </w:tcPr>
          <w:p w14:paraId="3EC1E85B" w14:textId="77777777" w:rsidR="0042368F" w:rsidRDefault="0042368F" w:rsidP="0042368F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Hugo Bis</w:t>
            </w:r>
            <w:r>
              <w:rPr>
                <w:rFonts w:asciiTheme="minorHAnsi" w:hAnsiTheme="minorHAnsi" w:cstheme="minorHAnsi"/>
              </w:rPr>
              <w:t>s</w:t>
            </w:r>
            <w:r w:rsidRPr="00D279A6">
              <w:rPr>
                <w:rFonts w:asciiTheme="minorHAnsi" w:hAnsiTheme="minorHAnsi" w:cstheme="minorHAnsi"/>
              </w:rPr>
              <w:t>ig</w:t>
            </w:r>
          </w:p>
          <w:p w14:paraId="1CAB8568" w14:textId="2FFBBF81" w:rsidR="0042368F" w:rsidRPr="00D279A6" w:rsidRDefault="0042368F" w:rsidP="0042368F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264F35">
              <w:rPr>
                <w:rFonts w:asciiTheme="minorHAnsi" w:hAnsiTheme="minorHAnsi" w:cstheme="minorHAnsi"/>
              </w:rPr>
              <w:t>Hugo.Bissig@metas.ch</w:t>
            </w:r>
          </w:p>
        </w:tc>
        <w:tc>
          <w:tcPr>
            <w:tcW w:w="1353" w:type="dxa"/>
            <w:vAlign w:val="center"/>
          </w:tcPr>
          <w:p w14:paraId="7B299888" w14:textId="77777777" w:rsidR="0042368F" w:rsidRPr="00D279A6" w:rsidRDefault="0042368F" w:rsidP="004236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05CD8AA0" w14:textId="7DC5EA5B" w:rsidR="0042368F" w:rsidRPr="00D279A6" w:rsidRDefault="00BF5044" w:rsidP="004236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May</w:t>
            </w:r>
            <w:r w:rsidR="0042368F" w:rsidRPr="00D279A6">
              <w:rPr>
                <w:rFonts w:asciiTheme="minorHAnsi" w:hAnsiTheme="minorHAnsi" w:cstheme="minorHAnsi"/>
                <w:sz w:val="20"/>
                <w:szCs w:val="20"/>
              </w:rPr>
              <w:t xml:space="preserve"> 2025</w:t>
            </w:r>
          </w:p>
        </w:tc>
      </w:tr>
      <w:tr w:rsidR="007D2360" w:rsidRPr="00D279A6" w14:paraId="2D8E4ED5" w14:textId="77777777" w:rsidTr="0042368F">
        <w:trPr>
          <w:trHeight w:val="600"/>
          <w:jc w:val="center"/>
        </w:trPr>
        <w:tc>
          <w:tcPr>
            <w:tcW w:w="811" w:type="dxa"/>
            <w:vAlign w:val="center"/>
          </w:tcPr>
          <w:p w14:paraId="0DD8F275" w14:textId="3E256946" w:rsidR="007D2360" w:rsidRPr="00D279A6" w:rsidRDefault="007D2360" w:rsidP="007D2360">
            <w:pPr>
              <w:pStyle w:val="Zkladntext"/>
              <w:keepNext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CMI</w:t>
            </w:r>
          </w:p>
        </w:tc>
        <w:tc>
          <w:tcPr>
            <w:tcW w:w="0" w:type="auto"/>
            <w:vAlign w:val="center"/>
          </w:tcPr>
          <w:p w14:paraId="56DA309E" w14:textId="3C4465CA" w:rsidR="007D2360" w:rsidRPr="00D279A6" w:rsidRDefault="007D2360" w:rsidP="007D2360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Czech Republic</w:t>
            </w:r>
          </w:p>
        </w:tc>
        <w:tc>
          <w:tcPr>
            <w:tcW w:w="2309" w:type="dxa"/>
            <w:vAlign w:val="center"/>
          </w:tcPr>
          <w:p w14:paraId="2701DB8A" w14:textId="77777777" w:rsidR="007D2360" w:rsidRPr="00F21056" w:rsidRDefault="007D2360" w:rsidP="007D2360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F21056">
              <w:rPr>
                <w:rFonts w:asciiTheme="minorHAnsi" w:hAnsiTheme="minorHAnsi" w:cstheme="minorHAnsi"/>
                <w:lang w:val="pl-PL"/>
              </w:rPr>
              <w:t xml:space="preserve">Czech </w:t>
            </w:r>
            <w:proofErr w:type="spellStart"/>
            <w:r w:rsidRPr="00F21056">
              <w:rPr>
                <w:rFonts w:asciiTheme="minorHAnsi" w:hAnsiTheme="minorHAnsi" w:cstheme="minorHAnsi"/>
                <w:lang w:val="pl-PL"/>
              </w:rPr>
              <w:t>Metrology</w:t>
            </w:r>
            <w:proofErr w:type="spellEnd"/>
            <w:r w:rsidRPr="00F21056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F21056">
              <w:rPr>
                <w:rFonts w:asciiTheme="minorHAnsi" w:hAnsiTheme="minorHAnsi" w:cstheme="minorHAnsi"/>
                <w:lang w:val="pl-PL"/>
              </w:rPr>
              <w:t>Institute</w:t>
            </w:r>
            <w:proofErr w:type="spellEnd"/>
          </w:p>
          <w:p w14:paraId="0B880D7F" w14:textId="0D4FF8DB" w:rsidR="007D2360" w:rsidRPr="007D2360" w:rsidRDefault="007D2360" w:rsidP="007D2360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F21056">
              <w:rPr>
                <w:rFonts w:asciiTheme="minorHAnsi" w:hAnsiTheme="minorHAnsi" w:cstheme="minorHAnsi"/>
                <w:lang w:val="pl-PL"/>
              </w:rPr>
              <w:t>Okruzni</w:t>
            </w:r>
            <w:proofErr w:type="spellEnd"/>
            <w:r w:rsidRPr="00F21056">
              <w:rPr>
                <w:rFonts w:asciiTheme="minorHAnsi" w:hAnsiTheme="minorHAnsi" w:cstheme="minorHAnsi"/>
                <w:lang w:val="pl-PL"/>
              </w:rPr>
              <w:t xml:space="preserve"> 31, 63800 Brno</w:t>
            </w:r>
          </w:p>
        </w:tc>
        <w:tc>
          <w:tcPr>
            <w:tcW w:w="2028" w:type="dxa"/>
            <w:vAlign w:val="center"/>
          </w:tcPr>
          <w:p w14:paraId="500A941E" w14:textId="77777777" w:rsidR="007D2360" w:rsidRDefault="007D2360" w:rsidP="007D2360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Miroslava Benkova</w:t>
            </w:r>
          </w:p>
          <w:p w14:paraId="7D7A6A6B" w14:textId="40E12355" w:rsidR="007D2360" w:rsidRPr="00D279A6" w:rsidRDefault="007D2360" w:rsidP="007D2360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hyperlink r:id="rId13" w:history="1">
              <w:r w:rsidRPr="00386DCC">
                <w:rPr>
                  <w:rFonts w:asciiTheme="minorHAnsi" w:hAnsiTheme="minorHAnsi" w:cstheme="minorHAnsi"/>
                </w:rPr>
                <w:t>mbenkova@cmi.gov.cz</w:t>
              </w:r>
            </w:hyperlink>
          </w:p>
        </w:tc>
        <w:tc>
          <w:tcPr>
            <w:tcW w:w="1353" w:type="dxa"/>
            <w:vAlign w:val="center"/>
          </w:tcPr>
          <w:p w14:paraId="5C518E4B" w14:textId="62C0B875" w:rsidR="007D2360" w:rsidRPr="00D279A6" w:rsidRDefault="007D2360" w:rsidP="007D23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Re-send after measurement in Switzerland</w:t>
            </w:r>
          </w:p>
        </w:tc>
        <w:tc>
          <w:tcPr>
            <w:tcW w:w="1445" w:type="dxa"/>
            <w:vAlign w:val="center"/>
          </w:tcPr>
          <w:p w14:paraId="3FCCC42A" w14:textId="60342FBE" w:rsidR="007D2360" w:rsidRDefault="007D2360" w:rsidP="007D236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5044" w:rsidRPr="00D279A6" w14:paraId="4D1111A8" w14:textId="77777777" w:rsidTr="0042368F">
        <w:trPr>
          <w:trHeight w:val="600"/>
          <w:jc w:val="center"/>
        </w:trPr>
        <w:tc>
          <w:tcPr>
            <w:tcW w:w="811" w:type="dxa"/>
            <w:vAlign w:val="center"/>
          </w:tcPr>
          <w:p w14:paraId="597F9BCB" w14:textId="2F65A47C" w:rsidR="00BF5044" w:rsidRPr="00D279A6" w:rsidRDefault="00BF5044" w:rsidP="00A410E5">
            <w:pPr>
              <w:pStyle w:val="Zkladntext"/>
              <w:keepNext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RISE</w:t>
            </w:r>
          </w:p>
        </w:tc>
        <w:tc>
          <w:tcPr>
            <w:tcW w:w="0" w:type="auto"/>
            <w:vAlign w:val="center"/>
          </w:tcPr>
          <w:p w14:paraId="0F889590" w14:textId="6963F7A5" w:rsidR="00BF5044" w:rsidRPr="00D279A6" w:rsidRDefault="00BF5044" w:rsidP="00BF5044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Sweden</w:t>
            </w:r>
          </w:p>
        </w:tc>
        <w:tc>
          <w:tcPr>
            <w:tcW w:w="2309" w:type="dxa"/>
            <w:vAlign w:val="center"/>
          </w:tcPr>
          <w:p w14:paraId="05DE6E7D" w14:textId="51D26079" w:rsidR="00BF5044" w:rsidRPr="00D279A6" w:rsidRDefault="00BF5044" w:rsidP="00BF5044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 xml:space="preserve">RISE Research Institutes of Sweden AB, </w:t>
            </w:r>
            <w:proofErr w:type="spellStart"/>
            <w:r w:rsidRPr="00D279A6">
              <w:rPr>
                <w:rFonts w:asciiTheme="minorHAnsi" w:hAnsiTheme="minorHAnsi" w:cstheme="minorHAnsi"/>
              </w:rPr>
              <w:t>Brinellgatan</w:t>
            </w:r>
            <w:proofErr w:type="spellEnd"/>
            <w:r w:rsidRPr="00D279A6">
              <w:rPr>
                <w:rFonts w:asciiTheme="minorHAnsi" w:hAnsiTheme="minorHAnsi" w:cstheme="minorHAnsi"/>
              </w:rPr>
              <w:t xml:space="preserve"> 4, 504 62, Borås, Sweden</w:t>
            </w:r>
          </w:p>
        </w:tc>
        <w:tc>
          <w:tcPr>
            <w:tcW w:w="2028" w:type="dxa"/>
            <w:vAlign w:val="center"/>
          </w:tcPr>
          <w:p w14:paraId="64975C81" w14:textId="77777777" w:rsidR="00BF5044" w:rsidRDefault="00BF5044" w:rsidP="00BF5044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Oliver Büker</w:t>
            </w:r>
          </w:p>
          <w:p w14:paraId="4141553A" w14:textId="1DC4A39F" w:rsidR="00BF5044" w:rsidRPr="00D279A6" w:rsidRDefault="00BF5044" w:rsidP="00BF5044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264F35">
              <w:rPr>
                <w:rFonts w:asciiTheme="minorHAnsi" w:hAnsiTheme="minorHAnsi" w:cstheme="minorHAnsi"/>
              </w:rPr>
              <w:t>oliver.buker@ri.se</w:t>
            </w:r>
          </w:p>
        </w:tc>
        <w:tc>
          <w:tcPr>
            <w:tcW w:w="1353" w:type="dxa"/>
            <w:vAlign w:val="center"/>
          </w:tcPr>
          <w:p w14:paraId="026F652B" w14:textId="77777777" w:rsidR="00BF5044" w:rsidRPr="00D279A6" w:rsidRDefault="00BF5044" w:rsidP="00BF50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0688E6F6" w14:textId="1BC5CDAD" w:rsidR="00BF5044" w:rsidRDefault="00BF5044" w:rsidP="00BF50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9A6">
              <w:rPr>
                <w:rFonts w:asciiTheme="minorHAnsi" w:hAnsiTheme="minorHAnsi" w:cstheme="minorHAnsi"/>
                <w:sz w:val="20"/>
                <w:szCs w:val="20"/>
              </w:rPr>
              <w:t>June 2025</w:t>
            </w:r>
          </w:p>
        </w:tc>
      </w:tr>
      <w:tr w:rsidR="00BF5044" w:rsidRPr="00D279A6" w14:paraId="6F297B0E" w14:textId="77777777" w:rsidTr="0042368F">
        <w:trPr>
          <w:trHeight w:val="600"/>
          <w:jc w:val="center"/>
        </w:trPr>
        <w:tc>
          <w:tcPr>
            <w:tcW w:w="811" w:type="dxa"/>
            <w:vAlign w:val="center"/>
          </w:tcPr>
          <w:p w14:paraId="779361F9" w14:textId="20D377C6" w:rsidR="00BF5044" w:rsidRPr="00D279A6" w:rsidRDefault="00BF5044" w:rsidP="00A410E5">
            <w:pPr>
              <w:pStyle w:val="Zkladntext"/>
              <w:keepNext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DTI</w:t>
            </w:r>
          </w:p>
        </w:tc>
        <w:tc>
          <w:tcPr>
            <w:tcW w:w="0" w:type="auto"/>
            <w:vAlign w:val="center"/>
          </w:tcPr>
          <w:p w14:paraId="6C2279E0" w14:textId="6BA6ADA9" w:rsidR="00BF5044" w:rsidRPr="00D279A6" w:rsidRDefault="00BF5044" w:rsidP="00BF5044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Denmark</w:t>
            </w:r>
          </w:p>
        </w:tc>
        <w:tc>
          <w:tcPr>
            <w:tcW w:w="2309" w:type="dxa"/>
            <w:vAlign w:val="center"/>
          </w:tcPr>
          <w:p w14:paraId="74611837" w14:textId="77777777" w:rsidR="00BF5044" w:rsidRPr="00D279A6" w:rsidRDefault="00BF5044" w:rsidP="00BF5044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  <w:lang w:val="cs-CZ"/>
              </w:rPr>
            </w:pPr>
            <w:r w:rsidRPr="00D279A6">
              <w:rPr>
                <w:rFonts w:asciiTheme="minorHAnsi" w:hAnsiTheme="minorHAnsi" w:cstheme="minorHAnsi"/>
                <w:lang w:val="cs-CZ"/>
              </w:rPr>
              <w:t>Danish Technological Institute</w:t>
            </w:r>
          </w:p>
          <w:p w14:paraId="01AA804A" w14:textId="4BEADE81" w:rsidR="00BF5044" w:rsidRPr="00D279A6" w:rsidRDefault="00BF5044" w:rsidP="00BF5044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  <w:lang w:val="cs-CZ"/>
              </w:rPr>
              <w:t>Kongsvang Allé 29, DK-8000 Aarhus C</w:t>
            </w:r>
          </w:p>
        </w:tc>
        <w:tc>
          <w:tcPr>
            <w:tcW w:w="2028" w:type="dxa"/>
            <w:vAlign w:val="center"/>
          </w:tcPr>
          <w:p w14:paraId="0C66E3B1" w14:textId="77777777" w:rsidR="00BF5044" w:rsidRDefault="00BF5044" w:rsidP="00BF5044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D279A6">
              <w:rPr>
                <w:rFonts w:asciiTheme="minorHAnsi" w:hAnsiTheme="minorHAnsi" w:cstheme="minorHAnsi"/>
                <w:lang w:val="cs-CZ"/>
              </w:rPr>
              <w:t>Thomas Schrøder Daugbjerg</w:t>
            </w:r>
          </w:p>
          <w:p w14:paraId="05083861" w14:textId="6239B532" w:rsidR="00BF5044" w:rsidRPr="00BF5044" w:rsidRDefault="00BF5044" w:rsidP="00BF5044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  <w:lang w:val="de-DE"/>
              </w:rPr>
            </w:pPr>
            <w:r w:rsidRPr="00264F35">
              <w:rPr>
                <w:rFonts w:asciiTheme="minorHAnsi" w:hAnsiTheme="minorHAnsi" w:cstheme="minorHAnsi"/>
                <w:lang w:val="cs-CZ"/>
              </w:rPr>
              <w:t>tsda@teknologisk.dk</w:t>
            </w:r>
          </w:p>
        </w:tc>
        <w:tc>
          <w:tcPr>
            <w:tcW w:w="1353" w:type="dxa"/>
            <w:vAlign w:val="center"/>
          </w:tcPr>
          <w:p w14:paraId="27679C23" w14:textId="77777777" w:rsidR="00BF5044" w:rsidRPr="00BF5044" w:rsidRDefault="00BF5044" w:rsidP="00BF50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1445" w:type="dxa"/>
            <w:vAlign w:val="center"/>
          </w:tcPr>
          <w:p w14:paraId="4CDDAC58" w14:textId="5099C1E8" w:rsidR="00BF5044" w:rsidRPr="00D279A6" w:rsidRDefault="00BF5044" w:rsidP="00BF50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July</w:t>
            </w:r>
            <w:r w:rsidRPr="00D279A6">
              <w:rPr>
                <w:rFonts w:asciiTheme="minorHAnsi" w:hAnsiTheme="minorHAnsi" w:cstheme="minorHAnsi"/>
                <w:sz w:val="20"/>
                <w:szCs w:val="20"/>
              </w:rPr>
              <w:t xml:space="preserve"> 2025</w:t>
            </w:r>
          </w:p>
        </w:tc>
      </w:tr>
      <w:tr w:rsidR="00BF5044" w:rsidRPr="00D279A6" w14:paraId="073EE95A" w14:textId="77777777" w:rsidTr="0042368F">
        <w:trPr>
          <w:trHeight w:val="600"/>
          <w:jc w:val="center"/>
        </w:trPr>
        <w:tc>
          <w:tcPr>
            <w:tcW w:w="811" w:type="dxa"/>
            <w:vAlign w:val="center"/>
          </w:tcPr>
          <w:p w14:paraId="0D12CFBA" w14:textId="3D93E63E" w:rsidR="00BF5044" w:rsidRPr="00D279A6" w:rsidRDefault="00BF5044" w:rsidP="00A410E5">
            <w:pPr>
              <w:pStyle w:val="Zkladntext"/>
              <w:keepNext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PTB</w:t>
            </w:r>
          </w:p>
        </w:tc>
        <w:tc>
          <w:tcPr>
            <w:tcW w:w="0" w:type="auto"/>
            <w:vAlign w:val="center"/>
          </w:tcPr>
          <w:p w14:paraId="25B7CDC4" w14:textId="6DF4BB6D" w:rsidR="00BF5044" w:rsidRPr="00D279A6" w:rsidRDefault="00BF5044" w:rsidP="00BF5044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Germany</w:t>
            </w:r>
          </w:p>
        </w:tc>
        <w:tc>
          <w:tcPr>
            <w:tcW w:w="2309" w:type="dxa"/>
            <w:vAlign w:val="center"/>
          </w:tcPr>
          <w:p w14:paraId="175D9EB7" w14:textId="60C73BCF" w:rsidR="00BF5044" w:rsidRPr="00D279A6" w:rsidRDefault="00BF5044" w:rsidP="00BF5044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  <w:lang w:val="cs-CZ"/>
              </w:rPr>
            </w:pPr>
            <w:r w:rsidRPr="00D279A6">
              <w:rPr>
                <w:rFonts w:asciiTheme="minorHAnsi" w:hAnsiTheme="minorHAnsi" w:cstheme="minorHAnsi"/>
                <w:lang w:val="de-DE"/>
              </w:rPr>
              <w:t>Physikalisch-Technische Bundesanstalt (PTB)</w:t>
            </w:r>
            <w:r w:rsidRPr="00D279A6">
              <w:rPr>
                <w:rFonts w:asciiTheme="minorHAnsi" w:hAnsiTheme="minorHAnsi" w:cstheme="minorHAnsi"/>
                <w:lang w:val="de-DE"/>
              </w:rPr>
              <w:br/>
              <w:t>Fachbereich 1.5 Flüssigkeiten</w:t>
            </w:r>
            <w:r w:rsidRPr="00D279A6">
              <w:rPr>
                <w:rFonts w:asciiTheme="minorHAnsi" w:hAnsiTheme="minorHAnsi" w:cstheme="minorHAnsi"/>
                <w:lang w:val="de-DE"/>
              </w:rPr>
              <w:br/>
              <w:t>Bundesallee 100, 38116 Braunschweig</w:t>
            </w:r>
          </w:p>
        </w:tc>
        <w:tc>
          <w:tcPr>
            <w:tcW w:w="2028" w:type="dxa"/>
            <w:vAlign w:val="center"/>
          </w:tcPr>
          <w:p w14:paraId="564E4DBD" w14:textId="77777777" w:rsidR="00BF5044" w:rsidRDefault="00BF5044" w:rsidP="00BF5044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Corina Kroner</w:t>
            </w:r>
          </w:p>
          <w:p w14:paraId="7D9E8308" w14:textId="150927D3" w:rsidR="00BF5044" w:rsidRPr="00D279A6" w:rsidRDefault="00BF5044" w:rsidP="00BF5044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386DCC">
              <w:rPr>
                <w:rFonts w:asciiTheme="minorHAnsi" w:hAnsiTheme="minorHAnsi" w:cstheme="minorHAnsi"/>
              </w:rPr>
              <w:t>corinna.kroner@ptb.de</w:t>
            </w:r>
          </w:p>
        </w:tc>
        <w:tc>
          <w:tcPr>
            <w:tcW w:w="1353" w:type="dxa"/>
            <w:vAlign w:val="center"/>
          </w:tcPr>
          <w:p w14:paraId="4515BEB8" w14:textId="77777777" w:rsidR="00BF5044" w:rsidRPr="00BF5044" w:rsidRDefault="00BF5044" w:rsidP="00BF50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6E427993" w14:textId="1B498D2A" w:rsidR="00BF5044" w:rsidRPr="00D279A6" w:rsidRDefault="00BF5044" w:rsidP="00BF50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August </w:t>
            </w:r>
            <w:r w:rsidRPr="00D279A6">
              <w:rPr>
                <w:rFonts w:asciiTheme="minorHAnsi" w:hAnsiTheme="minorHAnsi" w:cstheme="minorHAnsi"/>
                <w:sz w:val="20"/>
                <w:szCs w:val="20"/>
              </w:rPr>
              <w:t>2025</w:t>
            </w:r>
          </w:p>
        </w:tc>
      </w:tr>
      <w:tr w:rsidR="0042368F" w:rsidRPr="00D279A6" w14:paraId="58A50117" w14:textId="77777777" w:rsidTr="0042368F">
        <w:trPr>
          <w:trHeight w:val="600"/>
          <w:jc w:val="center"/>
        </w:trPr>
        <w:tc>
          <w:tcPr>
            <w:tcW w:w="811" w:type="dxa"/>
            <w:vAlign w:val="center"/>
          </w:tcPr>
          <w:p w14:paraId="73138C72" w14:textId="274FE8F1" w:rsidR="0042368F" w:rsidRPr="00D279A6" w:rsidRDefault="007D2360" w:rsidP="00A410E5">
            <w:pPr>
              <w:pStyle w:val="Zkladntext"/>
              <w:keepNext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vAlign w:val="center"/>
          </w:tcPr>
          <w:p w14:paraId="4FFFEA59" w14:textId="3FA82CE2" w:rsidR="0042368F" w:rsidRPr="00D279A6" w:rsidRDefault="007D2360" w:rsidP="0042368F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309" w:type="dxa"/>
            <w:vAlign w:val="center"/>
          </w:tcPr>
          <w:p w14:paraId="27CE38C4" w14:textId="31CEB0F2" w:rsidR="0042368F" w:rsidRPr="00D279A6" w:rsidRDefault="007D2360" w:rsidP="0042368F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028" w:type="dxa"/>
            <w:vAlign w:val="center"/>
          </w:tcPr>
          <w:p w14:paraId="2D648847" w14:textId="6166FB65" w:rsidR="0042368F" w:rsidRPr="00003462" w:rsidRDefault="007D2360" w:rsidP="0042368F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-</w:t>
            </w:r>
          </w:p>
        </w:tc>
        <w:tc>
          <w:tcPr>
            <w:tcW w:w="1353" w:type="dxa"/>
            <w:vAlign w:val="center"/>
          </w:tcPr>
          <w:p w14:paraId="04CCD3CE" w14:textId="46C73678" w:rsidR="0042368F" w:rsidRPr="00003462" w:rsidRDefault="007D2360" w:rsidP="004236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-</w:t>
            </w:r>
          </w:p>
        </w:tc>
        <w:tc>
          <w:tcPr>
            <w:tcW w:w="1445" w:type="dxa"/>
            <w:vAlign w:val="center"/>
          </w:tcPr>
          <w:p w14:paraId="40E6284E" w14:textId="63817F32" w:rsidR="0042368F" w:rsidRPr="00D279A6" w:rsidRDefault="007D2360" w:rsidP="00BF50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BF5044" w:rsidRPr="00D279A6" w14:paraId="5F8261AA" w14:textId="77777777" w:rsidTr="0042368F">
        <w:trPr>
          <w:trHeight w:val="600"/>
          <w:jc w:val="center"/>
        </w:trPr>
        <w:tc>
          <w:tcPr>
            <w:tcW w:w="811" w:type="dxa"/>
            <w:vAlign w:val="center"/>
          </w:tcPr>
          <w:p w14:paraId="64A7F23B" w14:textId="650D1EA8" w:rsidR="00BF5044" w:rsidRPr="00D279A6" w:rsidRDefault="00BF5044" w:rsidP="00A410E5">
            <w:pPr>
              <w:pStyle w:val="Zkladntext"/>
              <w:keepNext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IPQ</w:t>
            </w:r>
          </w:p>
        </w:tc>
        <w:tc>
          <w:tcPr>
            <w:tcW w:w="0" w:type="auto"/>
            <w:vAlign w:val="center"/>
          </w:tcPr>
          <w:p w14:paraId="1A04AF35" w14:textId="435DFF27" w:rsidR="00BF5044" w:rsidRPr="00D279A6" w:rsidRDefault="00BF5044" w:rsidP="00BF5044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Portugal</w:t>
            </w:r>
          </w:p>
        </w:tc>
        <w:tc>
          <w:tcPr>
            <w:tcW w:w="2309" w:type="dxa"/>
            <w:vAlign w:val="center"/>
          </w:tcPr>
          <w:p w14:paraId="40C23BB3" w14:textId="08125922" w:rsidR="00BF5044" w:rsidRPr="00D279A6" w:rsidRDefault="00BF5044" w:rsidP="00BF5044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  <w:lang w:val="cs-CZ"/>
              </w:rPr>
            </w:pPr>
            <w:r w:rsidRPr="00D279A6">
              <w:rPr>
                <w:rFonts w:asciiTheme="minorHAnsi" w:hAnsiTheme="minorHAnsi" w:cstheme="minorHAnsi"/>
                <w:lang w:val="fr-FR"/>
              </w:rPr>
              <w:t xml:space="preserve">Instituto Português da </w:t>
            </w:r>
            <w:proofErr w:type="spellStart"/>
            <w:r w:rsidRPr="00D279A6">
              <w:rPr>
                <w:rFonts w:asciiTheme="minorHAnsi" w:hAnsiTheme="minorHAnsi" w:cstheme="minorHAnsi"/>
                <w:lang w:val="fr-FR"/>
              </w:rPr>
              <w:t>Qualidade</w:t>
            </w:r>
            <w:proofErr w:type="spellEnd"/>
            <w:r w:rsidRPr="00D279A6">
              <w:rPr>
                <w:rFonts w:asciiTheme="minorHAnsi" w:hAnsiTheme="minorHAnsi" w:cstheme="minorHAnsi"/>
                <w:lang w:val="fr-FR"/>
              </w:rPr>
              <w:t xml:space="preserve"> (IPQ). </w:t>
            </w:r>
            <w:r w:rsidRPr="00D279A6">
              <w:rPr>
                <w:rFonts w:asciiTheme="minorHAnsi" w:hAnsiTheme="minorHAnsi" w:cstheme="minorHAnsi"/>
              </w:rPr>
              <w:t xml:space="preserve">Rua António </w:t>
            </w:r>
            <w:proofErr w:type="spellStart"/>
            <w:r w:rsidRPr="00D279A6">
              <w:rPr>
                <w:rFonts w:asciiTheme="minorHAnsi" w:hAnsiTheme="minorHAnsi" w:cstheme="minorHAnsi"/>
              </w:rPr>
              <w:t>Gião</w:t>
            </w:r>
            <w:proofErr w:type="spellEnd"/>
            <w:r w:rsidRPr="00D279A6">
              <w:rPr>
                <w:rFonts w:asciiTheme="minorHAnsi" w:hAnsiTheme="minorHAnsi" w:cstheme="minorHAnsi"/>
              </w:rPr>
              <w:t xml:space="preserve"> 2 2829-513 Caparica</w:t>
            </w:r>
          </w:p>
        </w:tc>
        <w:tc>
          <w:tcPr>
            <w:tcW w:w="2028" w:type="dxa"/>
            <w:vAlign w:val="center"/>
          </w:tcPr>
          <w:p w14:paraId="42F21849" w14:textId="77777777" w:rsidR="00BF5044" w:rsidRDefault="00BF5044" w:rsidP="00BF5044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Elsa Batista</w:t>
            </w:r>
          </w:p>
          <w:p w14:paraId="76792BC0" w14:textId="5C9A856E" w:rsidR="00BF5044" w:rsidRPr="00D279A6" w:rsidRDefault="00BF5044" w:rsidP="00BF5044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264F35">
              <w:rPr>
                <w:rFonts w:asciiTheme="minorHAnsi" w:hAnsiTheme="minorHAnsi" w:cstheme="minorHAnsi"/>
              </w:rPr>
              <w:t>ebatista@ipq.pt</w:t>
            </w:r>
          </w:p>
        </w:tc>
        <w:tc>
          <w:tcPr>
            <w:tcW w:w="1353" w:type="dxa"/>
            <w:vAlign w:val="center"/>
          </w:tcPr>
          <w:p w14:paraId="219049E8" w14:textId="77777777" w:rsidR="00BF5044" w:rsidRPr="00BF5044" w:rsidRDefault="00BF5044" w:rsidP="00BF50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37700526" w14:textId="2EFDAFCB" w:rsidR="00BF5044" w:rsidRPr="00D279A6" w:rsidRDefault="00BF5044" w:rsidP="00BF504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October</w:t>
            </w:r>
            <w:r w:rsidRPr="00D279A6">
              <w:rPr>
                <w:rFonts w:asciiTheme="minorHAnsi" w:hAnsiTheme="minorHAnsi" w:cstheme="minorHAnsi"/>
                <w:sz w:val="20"/>
                <w:szCs w:val="20"/>
              </w:rPr>
              <w:t xml:space="preserve"> 2025</w:t>
            </w:r>
          </w:p>
        </w:tc>
      </w:tr>
      <w:tr w:rsidR="0042368F" w:rsidRPr="00D279A6" w14:paraId="0B0AD972" w14:textId="77777777" w:rsidTr="0042368F">
        <w:trPr>
          <w:trHeight w:val="600"/>
          <w:jc w:val="center"/>
        </w:trPr>
        <w:tc>
          <w:tcPr>
            <w:tcW w:w="811" w:type="dxa"/>
            <w:vAlign w:val="center"/>
          </w:tcPr>
          <w:p w14:paraId="7762A893" w14:textId="7EDB9355" w:rsidR="0042368F" w:rsidRPr="00D279A6" w:rsidRDefault="0042368F" w:rsidP="0042368F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CETIAT</w:t>
            </w:r>
          </w:p>
        </w:tc>
        <w:tc>
          <w:tcPr>
            <w:tcW w:w="0" w:type="auto"/>
            <w:vAlign w:val="center"/>
          </w:tcPr>
          <w:p w14:paraId="1EE9FA54" w14:textId="7823A22F" w:rsidR="0042368F" w:rsidRPr="00D279A6" w:rsidRDefault="0042368F" w:rsidP="0042368F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France</w:t>
            </w:r>
          </w:p>
        </w:tc>
        <w:tc>
          <w:tcPr>
            <w:tcW w:w="2309" w:type="dxa"/>
            <w:vAlign w:val="center"/>
          </w:tcPr>
          <w:p w14:paraId="0A11D67B" w14:textId="77777777" w:rsidR="0042368F" w:rsidRPr="00D279A6" w:rsidRDefault="0042368F" w:rsidP="0042368F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  <w:lang w:val="fr-FR"/>
              </w:rPr>
            </w:pPr>
            <w:r w:rsidRPr="00D279A6">
              <w:rPr>
                <w:rFonts w:asciiTheme="minorHAnsi" w:hAnsiTheme="minorHAnsi" w:cstheme="minorHAnsi"/>
                <w:lang w:val="fr-FR"/>
              </w:rPr>
              <w:t>CETIAT</w:t>
            </w:r>
          </w:p>
          <w:p w14:paraId="695DF00B" w14:textId="141C53C6" w:rsidR="0042368F" w:rsidRPr="00D279A6" w:rsidRDefault="0042368F" w:rsidP="0042368F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  <w:lang w:val="fr-FR"/>
              </w:rPr>
            </w:pPr>
            <w:r w:rsidRPr="00D279A6">
              <w:rPr>
                <w:rFonts w:asciiTheme="minorHAnsi" w:hAnsiTheme="minorHAnsi" w:cstheme="minorHAnsi"/>
                <w:lang w:val="fr-FR"/>
              </w:rPr>
              <w:t>Laboratoire Micro-Débitmétrie Liquide</w:t>
            </w:r>
          </w:p>
          <w:p w14:paraId="53CEBB26" w14:textId="77777777" w:rsidR="0042368F" w:rsidRPr="00D279A6" w:rsidRDefault="0042368F" w:rsidP="0042368F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  <w:lang w:val="fr-FR"/>
              </w:rPr>
            </w:pPr>
            <w:r w:rsidRPr="00D279A6">
              <w:rPr>
                <w:rFonts w:asciiTheme="minorHAnsi" w:hAnsiTheme="minorHAnsi" w:cstheme="minorHAnsi"/>
                <w:lang w:val="fr-FR"/>
              </w:rPr>
              <w:t>Domaine Scientifique de la Doua 54, boulevard Niels Bohr</w:t>
            </w:r>
          </w:p>
          <w:p w14:paraId="3CEE82E3" w14:textId="77777777" w:rsidR="0042368F" w:rsidRPr="00D279A6" w:rsidRDefault="0042368F" w:rsidP="0042368F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FR - 69100 Villeurbanne</w:t>
            </w:r>
          </w:p>
          <w:p w14:paraId="113523C9" w14:textId="25200F64" w:rsidR="0042368F" w:rsidRPr="00D279A6" w:rsidRDefault="0042368F" w:rsidP="0042368F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  <w:lang w:val="de-DE"/>
              </w:rPr>
            </w:pPr>
            <w:r w:rsidRPr="00D279A6">
              <w:rPr>
                <w:rFonts w:asciiTheme="minorHAnsi" w:hAnsiTheme="minorHAnsi" w:cstheme="minorHAnsi"/>
              </w:rPr>
              <w:t>FRANCE</w:t>
            </w:r>
          </w:p>
        </w:tc>
        <w:tc>
          <w:tcPr>
            <w:tcW w:w="2028" w:type="dxa"/>
            <w:vAlign w:val="center"/>
          </w:tcPr>
          <w:p w14:paraId="2F7A9615" w14:textId="77777777" w:rsidR="0042368F" w:rsidRDefault="0042368F" w:rsidP="0042368F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D279A6">
              <w:rPr>
                <w:rFonts w:asciiTheme="minorHAnsi" w:hAnsiTheme="minorHAnsi" w:cstheme="minorHAnsi"/>
              </w:rPr>
              <w:t>Kevin Romieu</w:t>
            </w:r>
          </w:p>
          <w:p w14:paraId="3EAAA37F" w14:textId="0CDC82F1" w:rsidR="0042368F" w:rsidRPr="00D279A6" w:rsidRDefault="0042368F" w:rsidP="0042368F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53691">
              <w:rPr>
                <w:rFonts w:asciiTheme="minorHAnsi" w:hAnsiTheme="minorHAnsi" w:cstheme="minorHAnsi"/>
              </w:rPr>
              <w:t>kevin.romieu@cetiat.fr</w:t>
            </w:r>
          </w:p>
        </w:tc>
        <w:tc>
          <w:tcPr>
            <w:tcW w:w="1353" w:type="dxa"/>
            <w:vAlign w:val="center"/>
          </w:tcPr>
          <w:p w14:paraId="334F11EF" w14:textId="77777777" w:rsidR="0042368F" w:rsidRPr="00D279A6" w:rsidRDefault="0042368F" w:rsidP="004236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7B6FCCA5" w14:textId="75529401" w:rsidR="0042368F" w:rsidRPr="00D279A6" w:rsidRDefault="00BF5044" w:rsidP="004236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November</w:t>
            </w:r>
            <w:r w:rsidR="0042368F" w:rsidRPr="00D279A6">
              <w:rPr>
                <w:rFonts w:asciiTheme="minorHAnsi" w:hAnsiTheme="minorHAnsi" w:cstheme="minorHAnsi"/>
                <w:sz w:val="20"/>
                <w:szCs w:val="20"/>
              </w:rPr>
              <w:t xml:space="preserve"> 2025</w:t>
            </w:r>
          </w:p>
        </w:tc>
      </w:tr>
      <w:bookmarkEnd w:id="3"/>
    </w:tbl>
    <w:p w14:paraId="2513A1C8" w14:textId="77777777" w:rsidR="00FD4AF4" w:rsidRPr="006F035E" w:rsidRDefault="00FD4AF4" w:rsidP="00E6026C">
      <w:pPr>
        <w:pStyle w:val="Titulek"/>
      </w:pPr>
    </w:p>
    <w:p w14:paraId="4456540F" w14:textId="77777777" w:rsidR="00D0614C" w:rsidRDefault="00C0692F" w:rsidP="00CE3D5C">
      <w:pPr>
        <w:pStyle w:val="Nadpis1"/>
      </w:pPr>
      <w:bookmarkStart w:id="4" w:name="_Toc193212489"/>
      <w:r w:rsidRPr="006F035E">
        <w:lastRenderedPageBreak/>
        <w:t>Transfer standard</w:t>
      </w:r>
      <w:r w:rsidR="003316C5" w:rsidRPr="006F035E">
        <w:t>s</w:t>
      </w:r>
      <w:bookmarkEnd w:id="4"/>
    </w:p>
    <w:p w14:paraId="3230BD44" w14:textId="33E34612" w:rsidR="008534E5" w:rsidRPr="006F035E" w:rsidRDefault="00BC69B7" w:rsidP="00CE3D5C">
      <w:pPr>
        <w:pStyle w:val="Nadpis2"/>
      </w:pPr>
      <w:bookmarkStart w:id="5" w:name="_Toc193212490"/>
      <w:r>
        <w:t xml:space="preserve">Specifications of </w:t>
      </w:r>
      <w:r w:rsidR="00E6026C">
        <w:t xml:space="preserve">TS1: </w:t>
      </w:r>
      <w:r w:rsidR="009E3C62" w:rsidRPr="006F035E">
        <w:t>Coriolis flow meter m</w:t>
      </w:r>
      <w:r w:rsidR="009A7437" w:rsidRPr="006F035E">
        <w:t>ini CORI</w:t>
      </w:r>
      <w:r w:rsidR="009E3C62" w:rsidRPr="006F035E">
        <w:t>-</w:t>
      </w:r>
      <w:r w:rsidR="009A7437" w:rsidRPr="006F035E">
        <w:t>FLOW</w:t>
      </w:r>
      <w:r w:rsidR="0043555B">
        <w:t xml:space="preserve"> ML120</w:t>
      </w:r>
      <w:r w:rsidR="009A7437" w:rsidRPr="006F035E">
        <w:t>,</w:t>
      </w:r>
      <w:r w:rsidR="008534E5" w:rsidRPr="006F035E">
        <w:t xml:space="preserve"> </w:t>
      </w:r>
      <w:r w:rsidR="009A7437" w:rsidRPr="006F035E">
        <w:t>1</w:t>
      </w:r>
      <w:r w:rsidR="008534E5" w:rsidRPr="006F035E">
        <w:t xml:space="preserve"> to </w:t>
      </w:r>
      <w:r w:rsidR="009A7437" w:rsidRPr="006F035E">
        <w:t>200</w:t>
      </w:r>
      <w:r w:rsidR="008534E5" w:rsidRPr="006F035E">
        <w:t xml:space="preserve"> </w:t>
      </w:r>
      <w:r w:rsidR="009A7437" w:rsidRPr="006F035E">
        <w:t>g</w:t>
      </w:r>
      <w:r w:rsidR="008534E5" w:rsidRPr="006F035E">
        <w:t>/h</w:t>
      </w:r>
      <w:bookmarkEnd w:id="5"/>
    </w:p>
    <w:p w14:paraId="3B80A3CA" w14:textId="23C6542B" w:rsidR="003F23D6" w:rsidRPr="006F035E" w:rsidRDefault="00883D25" w:rsidP="00A410E5">
      <w:pPr>
        <w:pStyle w:val="Odstavecseseznamem"/>
        <w:keepNext/>
        <w:numPr>
          <w:ilvl w:val="0"/>
          <w:numId w:val="26"/>
        </w:numPr>
        <w:ind w:left="839" w:hanging="357"/>
      </w:pPr>
      <w:r w:rsidRPr="006F035E">
        <w:t>Type:</w:t>
      </w:r>
      <w:r w:rsidRPr="006F035E">
        <w:tab/>
      </w:r>
      <w:r w:rsidRPr="006F035E">
        <w:tab/>
      </w:r>
      <w:r w:rsidRPr="006F035E">
        <w:tab/>
        <w:t>M</w:t>
      </w:r>
      <w:r w:rsidR="0044516D">
        <w:t>L120</w:t>
      </w:r>
      <w:r w:rsidR="00BC69B7">
        <w:t>V21-BGD-CC-0-S</w:t>
      </w:r>
    </w:p>
    <w:p w14:paraId="4634C5FD" w14:textId="0C19EB16" w:rsidR="00883D25" w:rsidRPr="006F035E" w:rsidRDefault="00883D25" w:rsidP="00A410E5">
      <w:pPr>
        <w:pStyle w:val="Odstavecseseznamem"/>
        <w:keepNext/>
        <w:numPr>
          <w:ilvl w:val="0"/>
          <w:numId w:val="26"/>
        </w:numPr>
        <w:ind w:left="839" w:hanging="357"/>
      </w:pPr>
      <w:r w:rsidRPr="006F035E">
        <w:t>Manufacturer:</w:t>
      </w:r>
      <w:r w:rsidRPr="006F035E">
        <w:tab/>
        <w:t>Bronkhorst High-Tech</w:t>
      </w:r>
    </w:p>
    <w:p w14:paraId="1D02CEBC" w14:textId="3F023D17" w:rsidR="00883D25" w:rsidRPr="006F035E" w:rsidRDefault="00883D25" w:rsidP="00A410E5">
      <w:pPr>
        <w:pStyle w:val="Odstavecseseznamem"/>
        <w:keepNext/>
        <w:numPr>
          <w:ilvl w:val="0"/>
          <w:numId w:val="26"/>
        </w:numPr>
        <w:ind w:left="839" w:hanging="357"/>
      </w:pPr>
      <w:r w:rsidRPr="006F035E">
        <w:t xml:space="preserve">Zero stability: </w:t>
      </w:r>
      <w:r w:rsidRPr="006F035E">
        <w:tab/>
      </w:r>
      <w:r w:rsidRPr="006F035E">
        <w:tab/>
      </w:r>
      <w:r w:rsidR="0043555B">
        <w:t>&lt; ± 10 m</w:t>
      </w:r>
      <w:r w:rsidRPr="006F035E">
        <w:t>g/h</w:t>
      </w:r>
    </w:p>
    <w:p w14:paraId="3CF9A066" w14:textId="6100F200" w:rsidR="00883D25" w:rsidRPr="006F035E" w:rsidRDefault="00883D25" w:rsidP="00A410E5">
      <w:pPr>
        <w:pStyle w:val="Odstavecseseznamem"/>
        <w:keepNext/>
        <w:numPr>
          <w:ilvl w:val="0"/>
          <w:numId w:val="26"/>
        </w:numPr>
        <w:ind w:left="839" w:hanging="357"/>
      </w:pPr>
      <w:r w:rsidRPr="006F035E">
        <w:t>Qmax:</w:t>
      </w:r>
      <w:r w:rsidRPr="006F035E">
        <w:tab/>
      </w:r>
      <w:r w:rsidRPr="006F035E">
        <w:tab/>
      </w:r>
      <w:r w:rsidR="0092040C">
        <w:t>200</w:t>
      </w:r>
      <w:r w:rsidRPr="006F035E">
        <w:t xml:space="preserve"> g/h</w:t>
      </w:r>
    </w:p>
    <w:p w14:paraId="51185B64" w14:textId="19CA43B7" w:rsidR="003F23D6" w:rsidRPr="006F035E" w:rsidRDefault="00883D25" w:rsidP="00A410E5">
      <w:pPr>
        <w:pStyle w:val="Odstavecseseznamem"/>
        <w:keepNext/>
        <w:numPr>
          <w:ilvl w:val="0"/>
          <w:numId w:val="26"/>
        </w:numPr>
        <w:ind w:left="839" w:hanging="357"/>
      </w:pPr>
      <w:r w:rsidRPr="006F035E">
        <w:t xml:space="preserve">Serial number: </w:t>
      </w:r>
      <w:r w:rsidRPr="006F035E">
        <w:tab/>
      </w:r>
      <w:r w:rsidR="00BC69B7">
        <w:t>M20215065A</w:t>
      </w:r>
      <w:r w:rsidR="003F23D6" w:rsidRPr="006F035E">
        <w:t xml:space="preserve"> </w:t>
      </w:r>
    </w:p>
    <w:p w14:paraId="2E76F175" w14:textId="595C6A3B" w:rsidR="003F23D6" w:rsidRPr="006F035E" w:rsidRDefault="00883D25" w:rsidP="00A410E5">
      <w:pPr>
        <w:pStyle w:val="Odstavecseseznamem"/>
        <w:keepNext/>
        <w:numPr>
          <w:ilvl w:val="0"/>
          <w:numId w:val="26"/>
        </w:numPr>
        <w:ind w:left="839" w:hanging="357"/>
      </w:pPr>
      <w:r w:rsidRPr="006F035E">
        <w:t>Connection type:</w:t>
      </w:r>
      <w:r w:rsidRPr="006F035E">
        <w:tab/>
        <w:t>¼” OD Swagelok compression type</w:t>
      </w:r>
    </w:p>
    <w:p w14:paraId="1CE36371" w14:textId="5B631984" w:rsidR="00883D25" w:rsidRPr="006F035E" w:rsidRDefault="00883D25" w:rsidP="00A410E5">
      <w:pPr>
        <w:pStyle w:val="Odstavecseseznamem"/>
        <w:keepNext/>
        <w:numPr>
          <w:ilvl w:val="0"/>
          <w:numId w:val="26"/>
        </w:numPr>
        <w:ind w:left="839" w:hanging="357"/>
      </w:pPr>
      <w:r w:rsidRPr="006F035E">
        <w:t>Communication:</w:t>
      </w:r>
      <w:r w:rsidRPr="006F035E">
        <w:tab/>
        <w:t>RS232</w:t>
      </w:r>
    </w:p>
    <w:p w14:paraId="6806FAA1" w14:textId="228A4A94" w:rsidR="00891E0C" w:rsidRDefault="00891E0C" w:rsidP="00CE3D5C">
      <w:pPr>
        <w:pStyle w:val="Odstavecseseznamem"/>
        <w:numPr>
          <w:ilvl w:val="0"/>
          <w:numId w:val="26"/>
        </w:numPr>
      </w:pPr>
      <w:r w:rsidRPr="006F035E">
        <w:t>Electrical connection</w:t>
      </w:r>
      <w:r w:rsidRPr="006F035E">
        <w:tab/>
        <w:t>9</w:t>
      </w:r>
      <w:r w:rsidR="0092040C">
        <w:t xml:space="preserve">-pin D-connector (male), </w:t>
      </w:r>
      <w:r w:rsidRPr="006F035E">
        <w:t>(power connection included)</w:t>
      </w:r>
    </w:p>
    <w:p w14:paraId="4664852E" w14:textId="3312DC67" w:rsidR="00A61B7D" w:rsidRPr="006F035E" w:rsidRDefault="00BC69B7" w:rsidP="00CE3D5C">
      <w:pPr>
        <w:pStyle w:val="Nadpis2"/>
      </w:pPr>
      <w:bookmarkStart w:id="6" w:name="_Toc193212491"/>
      <w:r>
        <w:t xml:space="preserve">Specifications of </w:t>
      </w:r>
      <w:r w:rsidR="007513C1">
        <w:t xml:space="preserve">TS2: </w:t>
      </w:r>
      <w:r w:rsidR="00A61B7D" w:rsidRPr="006F035E">
        <w:t xml:space="preserve">Coriolis flow meter mini CORI-FLOWTM M14, </w:t>
      </w:r>
      <w:r w:rsidR="006604C6">
        <w:t>0.2</w:t>
      </w:r>
      <w:r w:rsidR="00A61B7D" w:rsidRPr="006F035E">
        <w:t xml:space="preserve"> to 30 </w:t>
      </w:r>
      <w:r w:rsidR="0044516D">
        <w:t>k</w:t>
      </w:r>
      <w:r w:rsidR="00A61B7D" w:rsidRPr="006F035E">
        <w:t>g/h</w:t>
      </w:r>
      <w:bookmarkEnd w:id="6"/>
    </w:p>
    <w:p w14:paraId="3A66FCBE" w14:textId="656CAC53" w:rsidR="00A61B7D" w:rsidRPr="006F035E" w:rsidRDefault="00A61B7D" w:rsidP="00A410E5">
      <w:pPr>
        <w:pStyle w:val="Odstavecseseznamem"/>
        <w:keepNext/>
        <w:numPr>
          <w:ilvl w:val="0"/>
          <w:numId w:val="35"/>
        </w:numPr>
        <w:ind w:left="839" w:hanging="357"/>
      </w:pPr>
      <w:r w:rsidRPr="006F035E">
        <w:t>Type:</w:t>
      </w:r>
      <w:r w:rsidRPr="006F035E">
        <w:tab/>
      </w:r>
      <w:r w:rsidRPr="006F035E">
        <w:tab/>
      </w:r>
      <w:r w:rsidRPr="006F035E">
        <w:tab/>
        <w:t>M14-AGD-</w:t>
      </w:r>
      <w:r w:rsidR="00BC69B7">
        <w:t>33</w:t>
      </w:r>
      <w:r w:rsidRPr="006F035E">
        <w:t>-0-S</w:t>
      </w:r>
    </w:p>
    <w:p w14:paraId="1BFACB15" w14:textId="25D041EE" w:rsidR="00A61B7D" w:rsidRPr="006F035E" w:rsidRDefault="00A61B7D" w:rsidP="00A410E5">
      <w:pPr>
        <w:pStyle w:val="Odstavecseseznamem"/>
        <w:keepNext/>
        <w:numPr>
          <w:ilvl w:val="0"/>
          <w:numId w:val="35"/>
        </w:numPr>
        <w:ind w:left="839" w:hanging="357"/>
      </w:pPr>
      <w:r w:rsidRPr="006F035E">
        <w:t>Manufacturer:</w:t>
      </w:r>
      <w:r w:rsidRPr="006F035E">
        <w:tab/>
        <w:t>Bronkhorst High-Tech</w:t>
      </w:r>
    </w:p>
    <w:p w14:paraId="7F4DB818" w14:textId="5C5FEEEF" w:rsidR="00A61B7D" w:rsidRPr="006F035E" w:rsidRDefault="00A61B7D" w:rsidP="00A410E5">
      <w:pPr>
        <w:pStyle w:val="Odstavecseseznamem"/>
        <w:keepNext/>
        <w:numPr>
          <w:ilvl w:val="0"/>
          <w:numId w:val="35"/>
        </w:numPr>
        <w:ind w:left="839" w:hanging="357"/>
      </w:pPr>
      <w:r w:rsidRPr="006F035E">
        <w:t>Zero stability:</w:t>
      </w:r>
      <w:r w:rsidRPr="006F035E">
        <w:tab/>
      </w:r>
      <w:r w:rsidRPr="006F035E">
        <w:tab/>
        <w:t>6 g/h</w:t>
      </w:r>
    </w:p>
    <w:p w14:paraId="639C7E42" w14:textId="393A40FE" w:rsidR="00A61B7D" w:rsidRPr="006F035E" w:rsidRDefault="00A61B7D" w:rsidP="00A410E5">
      <w:pPr>
        <w:pStyle w:val="Odstavecseseznamem"/>
        <w:keepNext/>
        <w:numPr>
          <w:ilvl w:val="0"/>
          <w:numId w:val="35"/>
        </w:numPr>
        <w:ind w:left="839" w:hanging="357"/>
      </w:pPr>
      <w:proofErr w:type="spellStart"/>
      <w:r w:rsidRPr="006F035E">
        <w:t>Qmax</w:t>
      </w:r>
      <w:proofErr w:type="spellEnd"/>
      <w:r w:rsidRPr="006F035E">
        <w:t>:</w:t>
      </w:r>
      <w:r w:rsidRPr="006F035E">
        <w:tab/>
      </w:r>
      <w:r w:rsidRPr="006F035E">
        <w:tab/>
      </w:r>
      <w:r w:rsidR="00FE44D6" w:rsidRPr="00A91B38">
        <w:t>3</w:t>
      </w:r>
      <w:r w:rsidRPr="00A91B38">
        <w:t>0 kg/h</w:t>
      </w:r>
    </w:p>
    <w:p w14:paraId="05A48877" w14:textId="7C060C4A" w:rsidR="00A61B7D" w:rsidRPr="006F035E" w:rsidRDefault="00A61B7D" w:rsidP="00A410E5">
      <w:pPr>
        <w:pStyle w:val="Odstavecseseznamem"/>
        <w:keepNext/>
        <w:numPr>
          <w:ilvl w:val="0"/>
          <w:numId w:val="35"/>
        </w:numPr>
        <w:ind w:left="839" w:hanging="357"/>
      </w:pPr>
      <w:r w:rsidRPr="006F035E">
        <w:t xml:space="preserve">Serial number: </w:t>
      </w:r>
      <w:r w:rsidRPr="006F035E">
        <w:tab/>
      </w:r>
      <w:r w:rsidR="00BC69B7">
        <w:t>M20207047A</w:t>
      </w:r>
    </w:p>
    <w:p w14:paraId="1413F295" w14:textId="417E03C7" w:rsidR="00A61B7D" w:rsidRPr="006F035E" w:rsidRDefault="00A61B7D" w:rsidP="00A410E5">
      <w:pPr>
        <w:pStyle w:val="Odstavecseseznamem"/>
        <w:keepNext/>
        <w:numPr>
          <w:ilvl w:val="0"/>
          <w:numId w:val="35"/>
        </w:numPr>
        <w:ind w:left="839" w:hanging="357"/>
      </w:pPr>
      <w:r w:rsidRPr="006F035E">
        <w:t>Connection type:</w:t>
      </w:r>
      <w:r w:rsidRPr="006F035E">
        <w:tab/>
        <w:t>¼” OD Swagelok compression type</w:t>
      </w:r>
    </w:p>
    <w:p w14:paraId="5C4DFE31" w14:textId="77777777" w:rsidR="00A61B7D" w:rsidRPr="006F035E" w:rsidRDefault="00A61B7D" w:rsidP="00A410E5">
      <w:pPr>
        <w:pStyle w:val="Odstavecseseznamem"/>
        <w:keepNext/>
        <w:numPr>
          <w:ilvl w:val="0"/>
          <w:numId w:val="35"/>
        </w:numPr>
        <w:ind w:left="839" w:hanging="357"/>
      </w:pPr>
      <w:r w:rsidRPr="006F035E">
        <w:t>Communication:</w:t>
      </w:r>
      <w:r w:rsidRPr="006F035E">
        <w:tab/>
        <w:t>RS232</w:t>
      </w:r>
    </w:p>
    <w:p w14:paraId="371D8341" w14:textId="77777777" w:rsidR="00A61B7D" w:rsidRDefault="00A61B7D" w:rsidP="00CE3D5C">
      <w:pPr>
        <w:pStyle w:val="Odstavecseseznamem"/>
        <w:numPr>
          <w:ilvl w:val="0"/>
          <w:numId w:val="35"/>
        </w:numPr>
      </w:pPr>
      <w:r w:rsidRPr="006F035E">
        <w:t>Electrical connection</w:t>
      </w:r>
      <w:r w:rsidRPr="006F035E">
        <w:tab/>
        <w:t>9 pins sub-D (power connection included)</w:t>
      </w:r>
    </w:p>
    <w:p w14:paraId="64CDA488" w14:textId="2AEDFD99" w:rsidR="00C94F27" w:rsidRDefault="00C94F27" w:rsidP="00C94F27">
      <w:pPr>
        <w:pStyle w:val="Nadpis2"/>
      </w:pPr>
      <w:bookmarkStart w:id="7" w:name="_Toc193212492"/>
      <w:r>
        <w:t>Pictures of the transfer standards and flight case</w:t>
      </w:r>
      <w:bookmarkEnd w:id="7"/>
    </w:p>
    <w:p w14:paraId="39E88A5B" w14:textId="78ACCEEA" w:rsidR="00C94F27" w:rsidRPr="00C94F27" w:rsidRDefault="00C94F27" w:rsidP="00C94F27">
      <w:r>
        <w:t>The two transfer standards (</w:t>
      </w:r>
      <w:r>
        <w:fldChar w:fldCharType="begin"/>
      </w:r>
      <w:r>
        <w:instrText xml:space="preserve"> REF _Ref193212092 \h </w:instrText>
      </w:r>
      <w:r>
        <w:fldChar w:fldCharType="separate"/>
      </w:r>
      <w:r>
        <w:t xml:space="preserve">Figure </w:t>
      </w:r>
      <w:r>
        <w:rPr>
          <w:noProof/>
        </w:rPr>
        <w:t>1</w:t>
      </w:r>
      <w:r>
        <w:fldChar w:fldCharType="end"/>
      </w:r>
      <w:r>
        <w:t>) are transported in a common flight case.</w:t>
      </w:r>
    </w:p>
    <w:p w14:paraId="1BAC091E" w14:textId="77777777" w:rsidR="00C94F27" w:rsidRDefault="00C94F27" w:rsidP="00C94F27">
      <w:pPr>
        <w:keepNext/>
        <w:jc w:val="center"/>
      </w:pPr>
      <w:r w:rsidRPr="00C94F27">
        <w:rPr>
          <w:noProof/>
        </w:rPr>
        <w:drawing>
          <wp:inline distT="0" distB="0" distL="0" distR="0" wp14:anchorId="2C1268DA" wp14:editId="04F1A15B">
            <wp:extent cx="2663785" cy="2700000"/>
            <wp:effectExtent l="0" t="0" r="3810" b="5715"/>
            <wp:docPr id="7393846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384693" name="Image 1"/>
                    <pic:cNvPicPr/>
                  </pic:nvPicPr>
                  <pic:blipFill rotWithShape="1">
                    <a:blip r:embed="rId14"/>
                    <a:srcRect l="14202" r="11804"/>
                    <a:stretch/>
                  </pic:blipFill>
                  <pic:spPr bwMode="auto">
                    <a:xfrm>
                      <a:off x="0" y="0"/>
                      <a:ext cx="2663785" cy="27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C94F27">
        <w:rPr>
          <w:noProof/>
        </w:rPr>
        <w:drawing>
          <wp:inline distT="0" distB="0" distL="0" distR="0" wp14:anchorId="46A8D03A" wp14:editId="4CDFA6C2">
            <wp:extent cx="2707631" cy="2700000"/>
            <wp:effectExtent l="0" t="0" r="0" b="5715"/>
            <wp:docPr id="16300359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035902" name="Image 1"/>
                    <pic:cNvPicPr/>
                  </pic:nvPicPr>
                  <pic:blipFill rotWithShape="1">
                    <a:blip r:embed="rId15"/>
                    <a:srcRect l="11675" r="13113"/>
                    <a:stretch/>
                  </pic:blipFill>
                  <pic:spPr bwMode="auto">
                    <a:xfrm>
                      <a:off x="0" y="0"/>
                      <a:ext cx="2707631" cy="27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2B5253" w14:textId="2575008E" w:rsidR="00C94F27" w:rsidRPr="007D2360" w:rsidRDefault="00C94F27" w:rsidP="00C94F27">
      <w:pPr>
        <w:pStyle w:val="Titulek"/>
        <w:rPr>
          <w:lang w:val="en-US"/>
        </w:rPr>
      </w:pPr>
      <w:bookmarkStart w:id="8" w:name="_Ref193212092"/>
      <w:r w:rsidRPr="007D2360">
        <w:rPr>
          <w:lang w:val="en-US"/>
        </w:rPr>
        <w:t xml:space="preserve">Figure </w:t>
      </w:r>
      <w:r>
        <w:fldChar w:fldCharType="begin"/>
      </w:r>
      <w:r w:rsidRPr="007D2360">
        <w:rPr>
          <w:lang w:val="en-US"/>
        </w:rPr>
        <w:instrText xml:space="preserve"> SEQ Figure \* ARABIC </w:instrText>
      </w:r>
      <w:r>
        <w:fldChar w:fldCharType="separate"/>
      </w:r>
      <w:r w:rsidRPr="007D2360">
        <w:rPr>
          <w:noProof/>
          <w:lang w:val="en-US"/>
        </w:rPr>
        <w:t>1</w:t>
      </w:r>
      <w:r>
        <w:fldChar w:fldCharType="end"/>
      </w:r>
      <w:bookmarkEnd w:id="8"/>
      <w:r w:rsidRPr="007D2360">
        <w:rPr>
          <w:lang w:val="en-US"/>
        </w:rPr>
        <w:t>: pictures of TS1 (left) and TS2 (right).</w:t>
      </w:r>
    </w:p>
    <w:p w14:paraId="1EB11F5D" w14:textId="77777777" w:rsidR="00C94F27" w:rsidRDefault="00C94F27" w:rsidP="00C94F27">
      <w:pPr>
        <w:keepNext/>
        <w:jc w:val="center"/>
      </w:pPr>
      <w:r w:rsidRPr="00C94F27">
        <w:rPr>
          <w:noProof/>
          <w:lang w:val="de-DE" w:eastAsia="de-DE"/>
        </w:rPr>
        <w:lastRenderedPageBreak/>
        <w:drawing>
          <wp:inline distT="0" distB="0" distL="0" distR="0" wp14:anchorId="00353F12" wp14:editId="067A3BFB">
            <wp:extent cx="2844000" cy="2133000"/>
            <wp:effectExtent l="0" t="0" r="0" b="635"/>
            <wp:docPr id="6224874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87422" name="Image 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213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2360">
        <w:rPr>
          <w:lang w:eastAsia="de-DE"/>
        </w:rPr>
        <w:t xml:space="preserve"> </w:t>
      </w:r>
      <w:r w:rsidRPr="00C94F27">
        <w:rPr>
          <w:noProof/>
          <w:lang w:val="de-DE" w:eastAsia="de-DE"/>
        </w:rPr>
        <w:drawing>
          <wp:inline distT="0" distB="0" distL="0" distR="0" wp14:anchorId="67496091" wp14:editId="4B64989F">
            <wp:extent cx="2844000" cy="2133000"/>
            <wp:effectExtent l="0" t="0" r="0" b="635"/>
            <wp:docPr id="2014938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93819" name="Image 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44000" cy="213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69C09" w14:textId="43017596" w:rsidR="00C94F27" w:rsidRPr="007D2360" w:rsidRDefault="00C94F27" w:rsidP="00C94F27">
      <w:pPr>
        <w:pStyle w:val="Titulek"/>
        <w:rPr>
          <w:lang w:val="en-US"/>
        </w:rPr>
      </w:pPr>
      <w:r w:rsidRPr="007D2360">
        <w:rPr>
          <w:lang w:val="en-US"/>
        </w:rPr>
        <w:t xml:space="preserve">Figure </w:t>
      </w:r>
      <w:r>
        <w:fldChar w:fldCharType="begin"/>
      </w:r>
      <w:r w:rsidRPr="007D2360">
        <w:rPr>
          <w:lang w:val="en-US"/>
        </w:rPr>
        <w:instrText xml:space="preserve"> SEQ Figure \* ARABIC </w:instrText>
      </w:r>
      <w:r>
        <w:fldChar w:fldCharType="separate"/>
      </w:r>
      <w:r w:rsidRPr="007D2360">
        <w:rPr>
          <w:noProof/>
          <w:lang w:val="en-US"/>
        </w:rPr>
        <w:t>2</w:t>
      </w:r>
      <w:r>
        <w:fldChar w:fldCharType="end"/>
      </w:r>
      <w:r w:rsidRPr="007D2360">
        <w:rPr>
          <w:lang w:val="en-US"/>
        </w:rPr>
        <w:t xml:space="preserve">: </w:t>
      </w:r>
      <w:r w:rsidR="00CD3A9C" w:rsidRPr="007D2360">
        <w:rPr>
          <w:lang w:val="en-US"/>
        </w:rPr>
        <w:t>upper part of the flight case</w:t>
      </w:r>
    </w:p>
    <w:p w14:paraId="0CF5E863" w14:textId="77777777" w:rsidR="00C94F27" w:rsidRDefault="00C94F27" w:rsidP="00C94F27">
      <w:pPr>
        <w:keepNext/>
        <w:jc w:val="center"/>
      </w:pPr>
      <w:r w:rsidRPr="00C94F27">
        <w:rPr>
          <w:noProof/>
          <w:lang w:val="de-DE" w:eastAsia="de-DE"/>
        </w:rPr>
        <w:drawing>
          <wp:inline distT="0" distB="0" distL="0" distR="0" wp14:anchorId="64D5E95F" wp14:editId="608D1770">
            <wp:extent cx="5759450" cy="4319587"/>
            <wp:effectExtent l="0" t="0" r="0" b="5080"/>
            <wp:docPr id="18482514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251441" name="Image 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1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DD879" w14:textId="51B7CDEC" w:rsidR="00C94F27" w:rsidRPr="007D2360" w:rsidRDefault="00C94F27" w:rsidP="00C94F27">
      <w:pPr>
        <w:pStyle w:val="Titulek"/>
        <w:rPr>
          <w:lang w:val="en-US"/>
        </w:rPr>
      </w:pPr>
      <w:r w:rsidRPr="007D2360">
        <w:rPr>
          <w:lang w:val="en-US"/>
        </w:rPr>
        <w:t xml:space="preserve">Figure </w:t>
      </w:r>
      <w:r>
        <w:fldChar w:fldCharType="begin"/>
      </w:r>
      <w:r w:rsidRPr="007D2360">
        <w:rPr>
          <w:lang w:val="en-US"/>
        </w:rPr>
        <w:instrText xml:space="preserve"> SEQ Figure \* ARABIC </w:instrText>
      </w:r>
      <w:r>
        <w:fldChar w:fldCharType="separate"/>
      </w:r>
      <w:r w:rsidRPr="007D2360">
        <w:rPr>
          <w:noProof/>
          <w:lang w:val="en-US"/>
        </w:rPr>
        <w:t>3</w:t>
      </w:r>
      <w:r>
        <w:fldChar w:fldCharType="end"/>
      </w:r>
      <w:r w:rsidR="00CD3A9C" w:rsidRPr="007D2360">
        <w:rPr>
          <w:lang w:val="en-US"/>
        </w:rPr>
        <w:t>: lower part of the flight case, with the two transfer standards and two USB-RS232 cables if needed.</w:t>
      </w:r>
    </w:p>
    <w:p w14:paraId="4F0D4B1B" w14:textId="77777777" w:rsidR="00BC69B7" w:rsidRPr="00175444" w:rsidRDefault="00BC69B7" w:rsidP="00BC69B7">
      <w:pPr>
        <w:pStyle w:val="Nadpis2"/>
      </w:pPr>
      <w:bookmarkStart w:id="9" w:name="_Toc59357390"/>
      <w:bookmarkStart w:id="10" w:name="_Toc193212493"/>
      <w:r w:rsidRPr="00175444">
        <w:t>Plugging and connections</w:t>
      </w:r>
      <w:bookmarkEnd w:id="9"/>
      <w:bookmarkEnd w:id="10"/>
    </w:p>
    <w:p w14:paraId="1DB69E04" w14:textId="02CEBFC6" w:rsidR="00BC69B7" w:rsidRPr="001E0864" w:rsidRDefault="00BC69B7" w:rsidP="00BC69B7">
      <w:r>
        <w:t>T</w:t>
      </w:r>
      <w:r w:rsidRPr="004A4582">
        <w:t xml:space="preserve">he </w:t>
      </w:r>
      <w:r>
        <w:t xml:space="preserve">Bronkhorst </w:t>
      </w:r>
      <w:r w:rsidRPr="006F035E">
        <w:t>CORI-FLOW</w:t>
      </w:r>
      <w:r>
        <w:t xml:space="preserve"> flow sensor comes with 1/16" connectors from Swagelok</w:t>
      </w:r>
      <w:r w:rsidRPr="006D5B15">
        <w:t xml:space="preserve"> </w:t>
      </w:r>
      <w:r>
        <w:t>for tubing with outer diameter of 1/16".</w:t>
      </w:r>
      <w:r w:rsidR="00A410E5">
        <w:t xml:space="preserve"> </w:t>
      </w:r>
      <w:r w:rsidRPr="001E0864">
        <w:t>Connection of the transfer standard to the calibration bench will be realized using the fast connectors as shown below:</w:t>
      </w:r>
    </w:p>
    <w:p w14:paraId="733DD025" w14:textId="6F0166A7" w:rsidR="00BC69B7" w:rsidRPr="00A410E5" w:rsidRDefault="00BC69B7" w:rsidP="00A410E5">
      <w:pPr>
        <w:spacing w:after="0" w:line="360" w:lineRule="atLeast"/>
      </w:pPr>
      <w:r w:rsidRPr="001E0864">
        <w:lastRenderedPageBreak/>
        <w:t>Install the connectors (Nut + Ferrule) on the tubes (metal or preferred peek to connect to the 1/16”OD of the L01)</w:t>
      </w:r>
      <w:r>
        <w:t xml:space="preserve">. </w:t>
      </w:r>
      <w:r w:rsidRPr="00C53D2C">
        <w:t>The tubes are the one from each partners laboratory.</w:t>
      </w:r>
    </w:p>
    <w:p w14:paraId="25671128" w14:textId="77777777" w:rsidR="00BC69B7" w:rsidRDefault="00BC69B7" w:rsidP="00BC69B7">
      <w:pPr>
        <w:keepNext/>
        <w:ind w:left="360"/>
        <w:jc w:val="center"/>
      </w:pPr>
      <w:r>
        <w:rPr>
          <w:noProof/>
          <w:highlight w:val="yellow"/>
          <w:lang w:val="de-CH" w:eastAsia="de-CH"/>
        </w:rPr>
        <w:drawing>
          <wp:inline distT="0" distB="0" distL="0" distR="0" wp14:anchorId="394FA9FF" wp14:editId="2155D28A">
            <wp:extent cx="2336148" cy="1026544"/>
            <wp:effectExtent l="0" t="0" r="7620" b="2540"/>
            <wp:docPr id="18" name="Picture 18" descr="Une image contenant ligne, capture d’écra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Une image contenant ligne, capture d’écran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95" b="6371"/>
                    <a:stretch/>
                  </pic:blipFill>
                  <pic:spPr bwMode="auto">
                    <a:xfrm>
                      <a:off x="0" y="0"/>
                      <a:ext cx="2390278" cy="105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0A03B8" w14:textId="3BBC1EC8" w:rsidR="00BC69B7" w:rsidRPr="00C1706A" w:rsidRDefault="00BC69B7" w:rsidP="00A410E5">
      <w:pPr>
        <w:pStyle w:val="Titulek"/>
        <w:rPr>
          <w:highlight w:val="yellow"/>
          <w:lang w:val="en-US"/>
        </w:rPr>
      </w:pPr>
      <w:r w:rsidRPr="008E000C">
        <w:rPr>
          <w:lang w:val="en-US"/>
        </w:rPr>
        <w:t xml:space="preserve">Figure </w:t>
      </w:r>
      <w:r w:rsidRPr="00C1706A">
        <w:fldChar w:fldCharType="begin"/>
      </w:r>
      <w:r w:rsidRPr="008E000C">
        <w:rPr>
          <w:lang w:val="en-US"/>
        </w:rPr>
        <w:instrText xml:space="preserve"> SEQ Figure \* ARABIC </w:instrText>
      </w:r>
      <w:r w:rsidRPr="00C1706A">
        <w:fldChar w:fldCharType="separate"/>
      </w:r>
      <w:r w:rsidR="00C94F27">
        <w:rPr>
          <w:noProof/>
          <w:lang w:val="en-US"/>
        </w:rPr>
        <w:t>5</w:t>
      </w:r>
      <w:r w:rsidRPr="00C1706A">
        <w:fldChar w:fldCharType="end"/>
      </w:r>
      <w:r w:rsidRPr="008E000C">
        <w:rPr>
          <w:lang w:val="en-US"/>
        </w:rPr>
        <w:t xml:space="preserve">: </w:t>
      </w:r>
      <w:r w:rsidRPr="00A410E5">
        <w:t>Connection</w:t>
      </w:r>
      <w:r w:rsidRPr="00C1706A">
        <w:rPr>
          <w:lang w:val="en-US"/>
        </w:rPr>
        <w:t xml:space="preserve"> </w:t>
      </w:r>
      <w:proofErr w:type="spellStart"/>
      <w:r w:rsidRPr="00A410E5">
        <w:t>Swagelok</w:t>
      </w:r>
      <w:proofErr w:type="spellEnd"/>
      <w:r w:rsidRPr="00C1706A">
        <w:rPr>
          <w:lang w:val="en-US"/>
        </w:rPr>
        <w:t xml:space="preserve"> 1/16"</w:t>
      </w:r>
    </w:p>
    <w:p w14:paraId="62FF0247" w14:textId="670CAFF8" w:rsidR="00C0692F" w:rsidRPr="006F035E" w:rsidRDefault="00D279A6" w:rsidP="00CE3D5C">
      <w:pPr>
        <w:pStyle w:val="Nadpis1"/>
      </w:pPr>
      <w:bookmarkStart w:id="11" w:name="_Toc193212494"/>
      <w:r>
        <w:t>M</w:t>
      </w:r>
      <w:r w:rsidR="00D0614C" w:rsidRPr="006F035E">
        <w:t>easurement procedure</w:t>
      </w:r>
      <w:r w:rsidR="008B5DBF" w:rsidRPr="006F035E">
        <w:t xml:space="preserve"> and </w:t>
      </w:r>
      <w:r w:rsidR="008B5DBF" w:rsidRPr="006E6842">
        <w:t>calibration</w:t>
      </w:r>
      <w:r w:rsidR="008B5DBF" w:rsidRPr="006F035E">
        <w:t xml:space="preserve"> protocol</w:t>
      </w:r>
      <w:bookmarkEnd w:id="11"/>
    </w:p>
    <w:p w14:paraId="70EBA295" w14:textId="4A91B4D4" w:rsidR="00CF336F" w:rsidRPr="006F035E" w:rsidRDefault="00CF336F" w:rsidP="00CE3D5C">
      <w:pPr>
        <w:pStyle w:val="Nadpis2"/>
      </w:pPr>
      <w:bookmarkStart w:id="12" w:name="_Toc193212495"/>
      <w:r w:rsidRPr="006F035E">
        <w:t>Measured quantity</w:t>
      </w:r>
      <w:bookmarkEnd w:id="12"/>
    </w:p>
    <w:p w14:paraId="13F574E2" w14:textId="06310514" w:rsidR="00CF336F" w:rsidRPr="006F035E" w:rsidRDefault="00CF336F" w:rsidP="00CE3D5C">
      <w:r w:rsidRPr="006F035E">
        <w:t>The intercomparison is based on comparing the relative error of the transfer standard a</w:t>
      </w:r>
      <w:r w:rsidR="005C0B1A">
        <w:t>n</w:t>
      </w:r>
      <w:r w:rsidRPr="006F035E">
        <w:t>d determined by the participating labs. The relative error ε (%) is defined as:</w:t>
      </w:r>
    </w:p>
    <w:p w14:paraId="16C8E29F" w14:textId="47AFE5DC" w:rsidR="00CF336F" w:rsidRPr="006F035E" w:rsidRDefault="00CF336F" w:rsidP="00CE3D5C">
      <m:oMathPara>
        <m:oMath>
          <m:r>
            <m:rPr>
              <m:sty m:val="p"/>
            </m:rPr>
            <w:rPr>
              <w:rFonts w:ascii="Cambria Math" w:hAnsi="Cambria Math"/>
            </w:rPr>
            <m:t>ε=100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indicated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ref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ref</m:t>
                  </m:r>
                </m:sub>
              </m:sSub>
            </m:den>
          </m:f>
        </m:oMath>
      </m:oMathPara>
    </w:p>
    <w:p w14:paraId="17F124B4" w14:textId="76120A0A" w:rsidR="00CF336F" w:rsidRPr="006F035E" w:rsidRDefault="00CF336F" w:rsidP="00CE3D5C">
      <w:r w:rsidRPr="006F035E"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indicated </m:t>
            </m:r>
          </m:sub>
        </m:sSub>
      </m:oMath>
      <w:r w:rsidRPr="006F035E">
        <w:t xml:space="preserve"> is the indicated flow rate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ref</m:t>
            </m:r>
          </m:sub>
        </m:sSub>
      </m:oMath>
      <w:r w:rsidRPr="006F035E">
        <w:t xml:space="preserve"> is the reference flow rate.</w:t>
      </w:r>
    </w:p>
    <w:p w14:paraId="7EF7010A" w14:textId="612C53B3" w:rsidR="00CF336F" w:rsidRPr="006F035E" w:rsidRDefault="00CF336F" w:rsidP="00CE3D5C">
      <w:pPr>
        <w:pStyle w:val="Nadpis2"/>
      </w:pPr>
      <w:bookmarkStart w:id="13" w:name="_Toc193212496"/>
      <w:r w:rsidRPr="006F035E">
        <w:t>Facilities</w:t>
      </w:r>
      <w:bookmarkEnd w:id="13"/>
    </w:p>
    <w:p w14:paraId="58376BB8" w14:textId="437A3BED" w:rsidR="00CF336F" w:rsidRPr="006F035E" w:rsidRDefault="00CF336F" w:rsidP="00CE3D5C">
      <w:r w:rsidRPr="006F035E">
        <w:t xml:space="preserve">The participating National Metrology Institutes (NMI) used their own calibration procedures to calibrate </w:t>
      </w:r>
      <w:r w:rsidR="00F018AA" w:rsidRPr="006F035E">
        <w:t xml:space="preserve">the flow meter. </w:t>
      </w:r>
      <w:r w:rsidR="00765944" w:rsidRPr="006F035E">
        <w:t xml:space="preserve">In Table an overview </w:t>
      </w:r>
      <w:r w:rsidR="002334B5" w:rsidRPr="006F035E">
        <w:t>is given of the participating laboratories, the type of facility, calibration procedure and references for further reading if existing. All laboratories are independent; however Bronkhorst High-Tech does not contribute to the reference value (RV) because it is not an NMI or DI.</w:t>
      </w:r>
    </w:p>
    <w:p w14:paraId="31708D79" w14:textId="7D6A03B1" w:rsidR="00E6026C" w:rsidRPr="00F21056" w:rsidRDefault="00E6026C" w:rsidP="00E6026C">
      <w:pPr>
        <w:pStyle w:val="Titulek"/>
        <w:keepNext/>
        <w:rPr>
          <w:lang w:val="en-US"/>
        </w:rPr>
      </w:pPr>
      <w:r w:rsidRPr="00F21056">
        <w:rPr>
          <w:lang w:val="en-US"/>
        </w:rPr>
        <w:lastRenderedPageBreak/>
        <w:t xml:space="preserve">Table </w:t>
      </w:r>
      <w:r>
        <w:fldChar w:fldCharType="begin"/>
      </w:r>
      <w:r w:rsidRPr="00F21056">
        <w:rPr>
          <w:lang w:val="en-US"/>
        </w:rPr>
        <w:instrText xml:space="preserve"> SEQ Table \* ARABIC </w:instrText>
      </w:r>
      <w:r>
        <w:fldChar w:fldCharType="separate"/>
      </w:r>
      <w:r w:rsidR="0085048B" w:rsidRPr="00F21056">
        <w:rPr>
          <w:noProof/>
          <w:lang w:val="en-US"/>
        </w:rPr>
        <w:t>2</w:t>
      </w:r>
      <w:r>
        <w:fldChar w:fldCharType="end"/>
      </w:r>
      <w:r w:rsidRPr="00F21056">
        <w:rPr>
          <w:lang w:val="en-US"/>
        </w:rPr>
        <w:t>: Overview participating laboratories, type of facility, calibration procedure and references for further reading if existing.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32"/>
        <w:gridCol w:w="1114"/>
        <w:gridCol w:w="1575"/>
        <w:gridCol w:w="1771"/>
        <w:gridCol w:w="3568"/>
      </w:tblGrid>
      <w:tr w:rsidR="009E122E" w:rsidRPr="0085048B" w14:paraId="5BAB1ABE" w14:textId="77777777" w:rsidTr="00832A8D">
        <w:trPr>
          <w:trHeight w:val="454"/>
          <w:jc w:val="center"/>
        </w:trPr>
        <w:tc>
          <w:tcPr>
            <w:tcW w:w="1032" w:type="dxa"/>
            <w:shd w:val="clear" w:color="auto" w:fill="C6D9F1"/>
            <w:vAlign w:val="center"/>
          </w:tcPr>
          <w:p w14:paraId="4BAE954D" w14:textId="70E4E496" w:rsidR="009E122E" w:rsidRPr="009E122E" w:rsidRDefault="009E122E" w:rsidP="00A410E5">
            <w:pPr>
              <w:keepNext/>
              <w:spacing w:after="0" w:line="240" w:lineRule="auto"/>
              <w:jc w:val="left"/>
              <w:rPr>
                <w:b/>
                <w:sz w:val="18"/>
                <w:szCs w:val="18"/>
                <w:lang w:val="en-GB"/>
              </w:rPr>
            </w:pPr>
            <w:r w:rsidRPr="009E122E">
              <w:rPr>
                <w:b/>
                <w:sz w:val="18"/>
                <w:szCs w:val="18"/>
                <w:lang w:val="en-GB"/>
              </w:rPr>
              <w:t>Laboratory</w:t>
            </w:r>
          </w:p>
        </w:tc>
        <w:tc>
          <w:tcPr>
            <w:tcW w:w="0" w:type="auto"/>
            <w:shd w:val="clear" w:color="auto" w:fill="C6D9F1"/>
            <w:vAlign w:val="center"/>
          </w:tcPr>
          <w:p w14:paraId="03A28CAF" w14:textId="77777777" w:rsidR="009E122E" w:rsidRPr="009E122E" w:rsidRDefault="009E122E" w:rsidP="009E122E">
            <w:pPr>
              <w:spacing w:after="0" w:line="240" w:lineRule="auto"/>
              <w:jc w:val="left"/>
              <w:rPr>
                <w:b/>
                <w:sz w:val="18"/>
                <w:szCs w:val="18"/>
                <w:lang w:val="en-GB"/>
              </w:rPr>
            </w:pPr>
            <w:r w:rsidRPr="009E122E">
              <w:rPr>
                <w:b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1575" w:type="dxa"/>
            <w:shd w:val="clear" w:color="auto" w:fill="C6D9F1"/>
            <w:vAlign w:val="center"/>
          </w:tcPr>
          <w:p w14:paraId="0DFBC3A9" w14:textId="1F83FA8E" w:rsidR="009E122E" w:rsidRPr="0085048B" w:rsidRDefault="009E122E" w:rsidP="009E122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C6E">
              <w:rPr>
                <w:b/>
                <w:sz w:val="18"/>
                <w:szCs w:val="18"/>
                <w:lang w:val="en-GB"/>
              </w:rPr>
              <w:t>Test rig / method of measurement</w:t>
            </w:r>
          </w:p>
        </w:tc>
        <w:tc>
          <w:tcPr>
            <w:tcW w:w="1771" w:type="dxa"/>
            <w:shd w:val="clear" w:color="auto" w:fill="C6D9F1"/>
            <w:vAlign w:val="center"/>
          </w:tcPr>
          <w:p w14:paraId="0E8DD2B6" w14:textId="041CCEEF" w:rsidR="009E122E" w:rsidRPr="0085048B" w:rsidRDefault="009E122E" w:rsidP="009E122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C6E">
              <w:rPr>
                <w:b/>
                <w:sz w:val="18"/>
                <w:szCs w:val="18"/>
                <w:lang w:val="en-GB"/>
              </w:rPr>
              <w:t>Measured flow range in g/h</w:t>
            </w:r>
          </w:p>
        </w:tc>
        <w:tc>
          <w:tcPr>
            <w:tcW w:w="3568" w:type="dxa"/>
            <w:shd w:val="clear" w:color="auto" w:fill="C6D9F1"/>
          </w:tcPr>
          <w:p w14:paraId="71D938F3" w14:textId="4FFCBE92" w:rsidR="009E122E" w:rsidRPr="0085048B" w:rsidRDefault="009E122E" w:rsidP="009E122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1C6E">
              <w:rPr>
                <w:b/>
                <w:sz w:val="18"/>
                <w:szCs w:val="18"/>
                <w:lang w:val="en-GB"/>
              </w:rPr>
              <w:t>References</w:t>
            </w:r>
          </w:p>
        </w:tc>
      </w:tr>
      <w:tr w:rsidR="003974E9" w:rsidRPr="0085048B" w14:paraId="72AE1FBC" w14:textId="77777777" w:rsidTr="00832A8D">
        <w:trPr>
          <w:trHeight w:val="454"/>
          <w:jc w:val="center"/>
        </w:trPr>
        <w:tc>
          <w:tcPr>
            <w:tcW w:w="1032" w:type="dxa"/>
            <w:vAlign w:val="center"/>
          </w:tcPr>
          <w:p w14:paraId="4EAF2F65" w14:textId="106E8C41" w:rsidR="003974E9" w:rsidRPr="008D4697" w:rsidRDefault="003974E9" w:rsidP="00A410E5">
            <w:pPr>
              <w:pStyle w:val="Zkladntext"/>
              <w:keepNext/>
              <w:spacing w:after="0"/>
              <w:jc w:val="left"/>
              <w:rPr>
                <w:rFonts w:asciiTheme="minorHAnsi" w:hAnsiTheme="minorHAnsi" w:cstheme="minorHAnsi"/>
              </w:rPr>
            </w:pPr>
            <w:r w:rsidRPr="008D4697">
              <w:rPr>
                <w:rFonts w:asciiTheme="minorHAnsi" w:hAnsiTheme="minorHAnsi" w:cstheme="minorHAnsi"/>
              </w:rPr>
              <w:t>CETIAT</w:t>
            </w:r>
          </w:p>
        </w:tc>
        <w:tc>
          <w:tcPr>
            <w:tcW w:w="0" w:type="auto"/>
            <w:vAlign w:val="center"/>
          </w:tcPr>
          <w:p w14:paraId="31BA0C03" w14:textId="0C9370FC" w:rsidR="003974E9" w:rsidRPr="008D4697" w:rsidRDefault="003974E9" w:rsidP="0085048B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D4697">
              <w:rPr>
                <w:rFonts w:asciiTheme="minorHAnsi" w:hAnsiTheme="minorHAnsi" w:cstheme="minorHAnsi"/>
                <w:sz w:val="20"/>
                <w:szCs w:val="20"/>
              </w:rPr>
              <w:t>France</w:t>
            </w:r>
          </w:p>
        </w:tc>
        <w:tc>
          <w:tcPr>
            <w:tcW w:w="1575" w:type="dxa"/>
            <w:vAlign w:val="center"/>
          </w:tcPr>
          <w:p w14:paraId="55ADED4F" w14:textId="55919DA0" w:rsidR="003974E9" w:rsidRPr="008D4697" w:rsidRDefault="00BC69B7" w:rsidP="0085048B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Gravimetric</w:t>
            </w:r>
          </w:p>
        </w:tc>
        <w:tc>
          <w:tcPr>
            <w:tcW w:w="1771" w:type="dxa"/>
            <w:vAlign w:val="center"/>
          </w:tcPr>
          <w:p w14:paraId="0C75C545" w14:textId="594C5D7A" w:rsidR="003974E9" w:rsidRPr="00AC1000" w:rsidRDefault="00BC69B7" w:rsidP="0085048B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to 100 000</w:t>
            </w:r>
          </w:p>
        </w:tc>
        <w:tc>
          <w:tcPr>
            <w:tcW w:w="3568" w:type="dxa"/>
            <w:vAlign w:val="center"/>
          </w:tcPr>
          <w:p w14:paraId="1D1DAC2E" w14:textId="77777777" w:rsidR="003974E9" w:rsidRPr="009E122E" w:rsidRDefault="003974E9" w:rsidP="0085048B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9E122E" w:rsidRPr="0085048B" w14:paraId="14A5B786" w14:textId="77777777" w:rsidTr="00832A8D">
        <w:trPr>
          <w:trHeight w:val="454"/>
          <w:jc w:val="center"/>
        </w:trPr>
        <w:tc>
          <w:tcPr>
            <w:tcW w:w="1032" w:type="dxa"/>
            <w:vAlign w:val="center"/>
          </w:tcPr>
          <w:p w14:paraId="1D046A55" w14:textId="431587A3" w:rsidR="009E122E" w:rsidRPr="008D4697" w:rsidRDefault="009E122E" w:rsidP="00A410E5">
            <w:pPr>
              <w:pStyle w:val="Zkladntext"/>
              <w:keepNext/>
              <w:spacing w:after="0"/>
              <w:jc w:val="left"/>
              <w:rPr>
                <w:rFonts w:asciiTheme="minorHAnsi" w:hAnsiTheme="minorHAnsi" w:cstheme="minorHAnsi"/>
              </w:rPr>
            </w:pPr>
            <w:r w:rsidRPr="008D4697">
              <w:rPr>
                <w:rFonts w:asciiTheme="minorHAnsi" w:hAnsiTheme="minorHAnsi" w:cstheme="minorHAnsi"/>
              </w:rPr>
              <w:t>CMI</w:t>
            </w:r>
          </w:p>
        </w:tc>
        <w:tc>
          <w:tcPr>
            <w:tcW w:w="0" w:type="auto"/>
            <w:vAlign w:val="center"/>
          </w:tcPr>
          <w:p w14:paraId="4D6FFC3F" w14:textId="497F1737" w:rsidR="009E122E" w:rsidRPr="008D4697" w:rsidRDefault="009E122E" w:rsidP="009E122E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</w:rPr>
            </w:pPr>
            <w:r w:rsidRPr="008D4697">
              <w:rPr>
                <w:rFonts w:asciiTheme="minorHAnsi" w:hAnsiTheme="minorHAnsi" w:cstheme="minorHAnsi"/>
              </w:rPr>
              <w:t>Czech Republic</w:t>
            </w:r>
          </w:p>
        </w:tc>
        <w:tc>
          <w:tcPr>
            <w:tcW w:w="1575" w:type="dxa"/>
            <w:vAlign w:val="center"/>
          </w:tcPr>
          <w:p w14:paraId="3DDA9EE4" w14:textId="5AEAFDF0" w:rsidR="009E122E" w:rsidRPr="008D4697" w:rsidRDefault="009E122E" w:rsidP="009E122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D4697">
              <w:rPr>
                <w:rFonts w:cs="Arial"/>
                <w:sz w:val="18"/>
                <w:szCs w:val="18"/>
                <w:lang w:val="en-GB"/>
              </w:rPr>
              <w:t>Volumetric with piston prover and gravimetric with weighing system</w:t>
            </w:r>
          </w:p>
        </w:tc>
        <w:tc>
          <w:tcPr>
            <w:tcW w:w="1771" w:type="dxa"/>
            <w:vAlign w:val="center"/>
          </w:tcPr>
          <w:p w14:paraId="27AC9E97" w14:textId="2C2EEA6E" w:rsidR="009E122E" w:rsidRPr="00AC1000" w:rsidRDefault="009E122E" w:rsidP="009E122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0E6A25" w14:textId="53BF1C6C" w:rsidR="009E122E" w:rsidRPr="00AC1000" w:rsidRDefault="009E122E" w:rsidP="009E122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C1000">
              <w:rPr>
                <w:rFonts w:asciiTheme="minorHAnsi" w:hAnsiTheme="minorHAnsi" w:cstheme="minorHAnsi"/>
                <w:sz w:val="20"/>
                <w:szCs w:val="20"/>
              </w:rPr>
              <w:t xml:space="preserve">1 to 6 000 </w:t>
            </w:r>
          </w:p>
        </w:tc>
        <w:tc>
          <w:tcPr>
            <w:tcW w:w="3568" w:type="dxa"/>
            <w:vAlign w:val="center"/>
          </w:tcPr>
          <w:p w14:paraId="4F0AD4B3" w14:textId="77777777" w:rsidR="009E122E" w:rsidRPr="0085048B" w:rsidRDefault="009E122E" w:rsidP="009E122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1C1E" w:rsidRPr="0085048B" w14:paraId="5110A744" w14:textId="77777777" w:rsidTr="00832A8D">
        <w:trPr>
          <w:trHeight w:val="454"/>
          <w:jc w:val="center"/>
        </w:trPr>
        <w:tc>
          <w:tcPr>
            <w:tcW w:w="1032" w:type="dxa"/>
            <w:vAlign w:val="center"/>
          </w:tcPr>
          <w:p w14:paraId="351DC264" w14:textId="3E831C73" w:rsidR="00A91C1E" w:rsidRPr="008D4697" w:rsidRDefault="00A91C1E" w:rsidP="00A410E5">
            <w:pPr>
              <w:pStyle w:val="Zkladntext"/>
              <w:keepNext/>
              <w:spacing w:after="0"/>
              <w:jc w:val="left"/>
              <w:rPr>
                <w:rFonts w:asciiTheme="minorHAnsi" w:hAnsiTheme="minorHAnsi" w:cstheme="minorHAnsi"/>
              </w:rPr>
            </w:pPr>
            <w:r w:rsidRPr="008D4697">
              <w:rPr>
                <w:rFonts w:asciiTheme="minorHAnsi" w:hAnsiTheme="minorHAnsi" w:cstheme="minorHAnsi"/>
              </w:rPr>
              <w:t>METAS</w:t>
            </w:r>
          </w:p>
        </w:tc>
        <w:tc>
          <w:tcPr>
            <w:tcW w:w="0" w:type="auto"/>
            <w:vAlign w:val="center"/>
          </w:tcPr>
          <w:p w14:paraId="51B74EF8" w14:textId="46E73E9E" w:rsidR="00A91C1E" w:rsidRPr="008D4697" w:rsidRDefault="00A91C1E" w:rsidP="00A91C1E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</w:rPr>
            </w:pPr>
            <w:r w:rsidRPr="008D4697">
              <w:rPr>
                <w:rFonts w:asciiTheme="minorHAnsi" w:hAnsiTheme="minorHAnsi" w:cstheme="minorHAnsi"/>
              </w:rPr>
              <w:t>Switzerland</w:t>
            </w:r>
          </w:p>
        </w:tc>
        <w:tc>
          <w:tcPr>
            <w:tcW w:w="1575" w:type="dxa"/>
            <w:vAlign w:val="center"/>
          </w:tcPr>
          <w:p w14:paraId="005D555E" w14:textId="305A213F" w:rsidR="00A91C1E" w:rsidRPr="008D4697" w:rsidRDefault="00A91C1E" w:rsidP="00A91C1E">
            <w:pPr>
              <w:spacing w:after="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Piston Prover and gravimetric </w:t>
            </w:r>
          </w:p>
        </w:tc>
        <w:tc>
          <w:tcPr>
            <w:tcW w:w="1771" w:type="dxa"/>
            <w:vAlign w:val="center"/>
          </w:tcPr>
          <w:p w14:paraId="17A09F63" w14:textId="0CBA2C4E" w:rsidR="00A91C1E" w:rsidRPr="00AC1000" w:rsidRDefault="00A91C1E" w:rsidP="00A91C1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C1000">
              <w:rPr>
                <w:rFonts w:asciiTheme="minorHAnsi" w:hAnsiTheme="minorHAnsi" w:cstheme="minorHAnsi"/>
                <w:sz w:val="20"/>
                <w:szCs w:val="20"/>
              </w:rPr>
              <w:t>0.0012 – 23'000</w:t>
            </w:r>
          </w:p>
        </w:tc>
        <w:tc>
          <w:tcPr>
            <w:tcW w:w="3568" w:type="dxa"/>
            <w:vAlign w:val="center"/>
          </w:tcPr>
          <w:p w14:paraId="5D426B93" w14:textId="77777777" w:rsidR="00A91C1E" w:rsidRPr="00D07739" w:rsidRDefault="00A91C1E" w:rsidP="00A91C1E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hyperlink r:id="rId20" w:history="1">
              <w:r w:rsidRPr="00D07739">
                <w:rPr>
                  <w:rStyle w:val="Hypertextovodkaz"/>
                  <w:rFonts w:asciiTheme="minorHAnsi" w:hAnsiTheme="minorHAnsi" w:cstheme="minorHAnsi"/>
                  <w:sz w:val="16"/>
                  <w:szCs w:val="16"/>
                </w:rPr>
                <w:t>https://doi.org/10.1016/j.flowmeasinst.2014.11.008</w:t>
              </w:r>
            </w:hyperlink>
            <w:r w:rsidRPr="00D07739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.</w:t>
            </w:r>
          </w:p>
          <w:p w14:paraId="080F6133" w14:textId="5825CBEE" w:rsidR="00A91C1E" w:rsidRPr="0085048B" w:rsidRDefault="00A91C1E" w:rsidP="00A91C1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history="1">
              <w:r w:rsidRPr="00D07739">
                <w:rPr>
                  <w:rStyle w:val="Hypertextovodkaz"/>
                  <w:rFonts w:asciiTheme="minorHAnsi" w:hAnsiTheme="minorHAnsi" w:cstheme="minorHAnsi"/>
                  <w:sz w:val="16"/>
                  <w:szCs w:val="16"/>
                  <w:lang w:val="de-CH"/>
                </w:rPr>
                <w:t>https://doi.org/10.1515/bmt-2022-0049</w:t>
              </w:r>
            </w:hyperlink>
          </w:p>
        </w:tc>
      </w:tr>
      <w:tr w:rsidR="00A91C1E" w:rsidRPr="0085048B" w14:paraId="2450E3CF" w14:textId="77777777" w:rsidTr="00832A8D">
        <w:trPr>
          <w:trHeight w:val="454"/>
          <w:jc w:val="center"/>
        </w:trPr>
        <w:tc>
          <w:tcPr>
            <w:tcW w:w="1032" w:type="dxa"/>
            <w:vAlign w:val="center"/>
          </w:tcPr>
          <w:p w14:paraId="3C904665" w14:textId="079485F0" w:rsidR="00A91C1E" w:rsidRPr="008D4697" w:rsidRDefault="00A91C1E" w:rsidP="00A410E5">
            <w:pPr>
              <w:pStyle w:val="Zkladntext"/>
              <w:keepNext/>
              <w:spacing w:after="0"/>
              <w:jc w:val="left"/>
              <w:rPr>
                <w:rFonts w:asciiTheme="minorHAnsi" w:hAnsiTheme="minorHAnsi" w:cstheme="minorHAnsi"/>
              </w:rPr>
            </w:pPr>
            <w:r w:rsidRPr="008D4697">
              <w:rPr>
                <w:rFonts w:asciiTheme="minorHAnsi" w:hAnsiTheme="minorHAnsi" w:cstheme="minorHAnsi"/>
              </w:rPr>
              <w:t>RISE</w:t>
            </w:r>
          </w:p>
        </w:tc>
        <w:tc>
          <w:tcPr>
            <w:tcW w:w="0" w:type="auto"/>
            <w:vAlign w:val="center"/>
          </w:tcPr>
          <w:p w14:paraId="05E97480" w14:textId="67E30926" w:rsidR="00A91C1E" w:rsidRPr="008D4697" w:rsidRDefault="00A91C1E" w:rsidP="00A91C1E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</w:rPr>
            </w:pPr>
            <w:r w:rsidRPr="008D4697">
              <w:rPr>
                <w:rFonts w:asciiTheme="minorHAnsi" w:hAnsiTheme="minorHAnsi" w:cstheme="minorHAnsi"/>
              </w:rPr>
              <w:t>Sweden</w:t>
            </w:r>
          </w:p>
        </w:tc>
        <w:tc>
          <w:tcPr>
            <w:tcW w:w="1575" w:type="dxa"/>
            <w:vAlign w:val="center"/>
          </w:tcPr>
          <w:p w14:paraId="682703E0" w14:textId="0BE2E328" w:rsidR="00A91C1E" w:rsidRDefault="00A91C1E" w:rsidP="00A91C1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Gravimetric</w:t>
            </w:r>
          </w:p>
        </w:tc>
        <w:tc>
          <w:tcPr>
            <w:tcW w:w="1771" w:type="dxa"/>
            <w:vAlign w:val="center"/>
          </w:tcPr>
          <w:p w14:paraId="1A311BAC" w14:textId="77777777" w:rsidR="00A91C1E" w:rsidRPr="00AC1000" w:rsidRDefault="00A91C1E" w:rsidP="00A91C1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C10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 to 200</w:t>
            </w:r>
          </w:p>
          <w:p w14:paraId="3BCC9D1D" w14:textId="68FF5A6B" w:rsidR="00A91C1E" w:rsidRPr="00AC1000" w:rsidRDefault="00A91C1E" w:rsidP="00A91C1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C100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200 to 30 000</w:t>
            </w:r>
          </w:p>
        </w:tc>
        <w:tc>
          <w:tcPr>
            <w:tcW w:w="3568" w:type="dxa"/>
            <w:vAlign w:val="center"/>
          </w:tcPr>
          <w:p w14:paraId="33B43B3A" w14:textId="77777777" w:rsidR="00A91C1E" w:rsidRDefault="00A91C1E" w:rsidP="00A91C1E">
            <w:pPr>
              <w:spacing w:after="0" w:line="240" w:lineRule="auto"/>
              <w:jc w:val="left"/>
            </w:pPr>
          </w:p>
        </w:tc>
      </w:tr>
      <w:tr w:rsidR="00A91C1E" w:rsidRPr="0085048B" w14:paraId="58BF0659" w14:textId="77777777" w:rsidTr="00832A8D">
        <w:trPr>
          <w:trHeight w:val="454"/>
          <w:jc w:val="center"/>
        </w:trPr>
        <w:tc>
          <w:tcPr>
            <w:tcW w:w="1032" w:type="dxa"/>
            <w:vAlign w:val="center"/>
          </w:tcPr>
          <w:p w14:paraId="4DB9EC42" w14:textId="42A097FB" w:rsidR="00A91C1E" w:rsidRPr="008D4697" w:rsidRDefault="00A91C1E" w:rsidP="00A410E5">
            <w:pPr>
              <w:pStyle w:val="Zkladntext"/>
              <w:keepNext/>
              <w:spacing w:after="0"/>
              <w:jc w:val="left"/>
              <w:rPr>
                <w:rFonts w:asciiTheme="minorHAnsi" w:hAnsiTheme="minorHAnsi" w:cstheme="minorHAnsi"/>
              </w:rPr>
            </w:pPr>
            <w:r w:rsidRPr="008D4697">
              <w:rPr>
                <w:rFonts w:asciiTheme="minorHAnsi" w:hAnsiTheme="minorHAnsi" w:cstheme="minorHAnsi"/>
              </w:rPr>
              <w:t>DTI</w:t>
            </w:r>
          </w:p>
        </w:tc>
        <w:tc>
          <w:tcPr>
            <w:tcW w:w="0" w:type="auto"/>
            <w:vAlign w:val="center"/>
          </w:tcPr>
          <w:p w14:paraId="70A976D1" w14:textId="25F34570" w:rsidR="00A91C1E" w:rsidRPr="008D4697" w:rsidRDefault="00A91C1E" w:rsidP="00A91C1E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</w:rPr>
            </w:pPr>
            <w:r w:rsidRPr="008D4697">
              <w:rPr>
                <w:rFonts w:asciiTheme="minorHAnsi" w:hAnsiTheme="minorHAnsi" w:cstheme="minorHAnsi"/>
              </w:rPr>
              <w:t>Denmark</w:t>
            </w:r>
          </w:p>
        </w:tc>
        <w:tc>
          <w:tcPr>
            <w:tcW w:w="1575" w:type="dxa"/>
            <w:vAlign w:val="center"/>
          </w:tcPr>
          <w:p w14:paraId="30401DC6" w14:textId="77777777" w:rsidR="00A91C1E" w:rsidRDefault="00A91C1E" w:rsidP="00A91C1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26C2F37F" w14:textId="77777777" w:rsidR="00A91C1E" w:rsidRPr="00AC1000" w:rsidRDefault="00A91C1E" w:rsidP="00A91C1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568" w:type="dxa"/>
            <w:vAlign w:val="center"/>
          </w:tcPr>
          <w:p w14:paraId="20041C51" w14:textId="77777777" w:rsidR="00A91C1E" w:rsidRDefault="00A91C1E" w:rsidP="00A91C1E">
            <w:pPr>
              <w:spacing w:after="0" w:line="240" w:lineRule="auto"/>
              <w:jc w:val="left"/>
            </w:pPr>
          </w:p>
        </w:tc>
      </w:tr>
      <w:tr w:rsidR="00A91C1E" w:rsidRPr="0085048B" w14:paraId="58A05FFF" w14:textId="77777777" w:rsidTr="00832A8D">
        <w:trPr>
          <w:trHeight w:val="454"/>
          <w:jc w:val="center"/>
        </w:trPr>
        <w:tc>
          <w:tcPr>
            <w:tcW w:w="1032" w:type="dxa"/>
            <w:vAlign w:val="center"/>
          </w:tcPr>
          <w:p w14:paraId="3C9387E9" w14:textId="174FEE8B" w:rsidR="00A91C1E" w:rsidRPr="008D4697" w:rsidRDefault="00A91C1E" w:rsidP="00A410E5">
            <w:pPr>
              <w:pStyle w:val="Zkladntext"/>
              <w:keepNext/>
              <w:spacing w:after="0"/>
              <w:jc w:val="left"/>
              <w:rPr>
                <w:rFonts w:asciiTheme="minorHAnsi" w:hAnsiTheme="minorHAnsi" w:cstheme="minorHAnsi"/>
              </w:rPr>
            </w:pPr>
            <w:r w:rsidRPr="008D4697">
              <w:rPr>
                <w:rFonts w:asciiTheme="minorHAnsi" w:hAnsiTheme="minorHAnsi" w:cstheme="minorHAnsi"/>
              </w:rPr>
              <w:t>PTB</w:t>
            </w:r>
          </w:p>
        </w:tc>
        <w:tc>
          <w:tcPr>
            <w:tcW w:w="0" w:type="auto"/>
            <w:vAlign w:val="center"/>
          </w:tcPr>
          <w:p w14:paraId="02D1C5E6" w14:textId="707F1546" w:rsidR="00A91C1E" w:rsidRPr="008D4697" w:rsidRDefault="00A91C1E" w:rsidP="00A91C1E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</w:rPr>
            </w:pPr>
            <w:r w:rsidRPr="008D4697">
              <w:rPr>
                <w:rFonts w:asciiTheme="minorHAnsi" w:hAnsiTheme="minorHAnsi" w:cstheme="minorHAnsi"/>
              </w:rPr>
              <w:t>Germany</w:t>
            </w:r>
          </w:p>
        </w:tc>
        <w:tc>
          <w:tcPr>
            <w:tcW w:w="1575" w:type="dxa"/>
            <w:vAlign w:val="center"/>
          </w:tcPr>
          <w:p w14:paraId="44A1AA46" w14:textId="566002E8" w:rsidR="00A91C1E" w:rsidRDefault="00A91C1E" w:rsidP="00A91C1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Gravimetric</w:t>
            </w:r>
          </w:p>
        </w:tc>
        <w:tc>
          <w:tcPr>
            <w:tcW w:w="1771" w:type="dxa"/>
            <w:vAlign w:val="center"/>
          </w:tcPr>
          <w:p w14:paraId="090E0F3C" w14:textId="3C5C6E73" w:rsidR="00A91C1E" w:rsidRPr="00AC1000" w:rsidRDefault="00A91C1E" w:rsidP="00A91C1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C1000">
              <w:rPr>
                <w:rFonts w:asciiTheme="minorHAnsi" w:hAnsiTheme="minorHAnsi" w:cstheme="minorHAnsi"/>
                <w:sz w:val="20"/>
                <w:szCs w:val="20"/>
              </w:rPr>
              <w:t>1000 to 30 000</w:t>
            </w:r>
          </w:p>
        </w:tc>
        <w:tc>
          <w:tcPr>
            <w:tcW w:w="3568" w:type="dxa"/>
            <w:vAlign w:val="center"/>
          </w:tcPr>
          <w:p w14:paraId="7B6B2611" w14:textId="77777777" w:rsidR="00A91C1E" w:rsidRDefault="00A91C1E" w:rsidP="00A91C1E">
            <w:pPr>
              <w:spacing w:after="0" w:line="240" w:lineRule="auto"/>
              <w:jc w:val="left"/>
            </w:pPr>
          </w:p>
        </w:tc>
      </w:tr>
      <w:tr w:rsidR="00A91C1E" w:rsidRPr="0085048B" w14:paraId="07551562" w14:textId="77777777" w:rsidTr="00832A8D">
        <w:trPr>
          <w:trHeight w:val="454"/>
          <w:jc w:val="center"/>
        </w:trPr>
        <w:tc>
          <w:tcPr>
            <w:tcW w:w="1032" w:type="dxa"/>
            <w:vAlign w:val="center"/>
          </w:tcPr>
          <w:p w14:paraId="5AB3814D" w14:textId="375124F9" w:rsidR="00A91C1E" w:rsidRPr="008D4697" w:rsidRDefault="00A91C1E" w:rsidP="00A410E5">
            <w:pPr>
              <w:pStyle w:val="Zkladntext"/>
              <w:keepNext/>
              <w:spacing w:after="0"/>
              <w:jc w:val="left"/>
              <w:rPr>
                <w:rFonts w:asciiTheme="minorHAnsi" w:hAnsiTheme="minorHAnsi" w:cstheme="minorHAnsi"/>
              </w:rPr>
            </w:pPr>
            <w:r w:rsidRPr="008D4697">
              <w:rPr>
                <w:rFonts w:asciiTheme="minorHAnsi" w:hAnsiTheme="minorHAnsi" w:cstheme="minorHAnsi"/>
              </w:rPr>
              <w:t>VSL</w:t>
            </w:r>
          </w:p>
        </w:tc>
        <w:tc>
          <w:tcPr>
            <w:tcW w:w="0" w:type="auto"/>
            <w:vAlign w:val="center"/>
          </w:tcPr>
          <w:p w14:paraId="33744409" w14:textId="3F042E90" w:rsidR="00A91C1E" w:rsidRPr="008D4697" w:rsidRDefault="00A91C1E" w:rsidP="00A91C1E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</w:rPr>
            </w:pPr>
            <w:r w:rsidRPr="008D4697">
              <w:rPr>
                <w:rFonts w:asciiTheme="minorHAnsi" w:hAnsiTheme="minorHAnsi" w:cstheme="minorHAnsi"/>
              </w:rPr>
              <w:t>Netherlands</w:t>
            </w:r>
          </w:p>
        </w:tc>
        <w:tc>
          <w:tcPr>
            <w:tcW w:w="1575" w:type="dxa"/>
            <w:vAlign w:val="center"/>
          </w:tcPr>
          <w:p w14:paraId="0E62D7AD" w14:textId="77777777" w:rsidR="00A91C1E" w:rsidRDefault="00A91C1E" w:rsidP="00A91C1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00F8C97D" w14:textId="77777777" w:rsidR="00A91C1E" w:rsidRPr="00AC1000" w:rsidRDefault="00A91C1E" w:rsidP="00A91C1E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68" w:type="dxa"/>
            <w:vAlign w:val="center"/>
          </w:tcPr>
          <w:p w14:paraId="63567861" w14:textId="77777777" w:rsidR="00A91C1E" w:rsidRDefault="00A91C1E" w:rsidP="00A91C1E">
            <w:pPr>
              <w:spacing w:after="0" w:line="240" w:lineRule="auto"/>
              <w:jc w:val="left"/>
            </w:pPr>
          </w:p>
        </w:tc>
      </w:tr>
      <w:tr w:rsidR="00832A8D" w:rsidRPr="0085048B" w14:paraId="6F4EFD49" w14:textId="77777777" w:rsidTr="00832A8D">
        <w:trPr>
          <w:trHeight w:val="454"/>
          <w:jc w:val="center"/>
        </w:trPr>
        <w:tc>
          <w:tcPr>
            <w:tcW w:w="1032" w:type="dxa"/>
            <w:vAlign w:val="center"/>
          </w:tcPr>
          <w:p w14:paraId="347E4DCC" w14:textId="452ED205" w:rsidR="00832A8D" w:rsidRPr="008D4697" w:rsidRDefault="00832A8D" w:rsidP="00832A8D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</w:rPr>
            </w:pPr>
            <w:r w:rsidRPr="008D4697">
              <w:rPr>
                <w:rFonts w:asciiTheme="minorHAnsi" w:hAnsiTheme="minorHAnsi" w:cstheme="minorHAnsi"/>
              </w:rPr>
              <w:t>IPQ</w:t>
            </w:r>
          </w:p>
        </w:tc>
        <w:tc>
          <w:tcPr>
            <w:tcW w:w="0" w:type="auto"/>
            <w:vAlign w:val="center"/>
          </w:tcPr>
          <w:p w14:paraId="6C7B54D6" w14:textId="06C43CBF" w:rsidR="00832A8D" w:rsidRPr="008D4697" w:rsidRDefault="00832A8D" w:rsidP="00832A8D">
            <w:pPr>
              <w:pStyle w:val="Zkladntext"/>
              <w:spacing w:after="0"/>
              <w:jc w:val="left"/>
              <w:rPr>
                <w:rFonts w:asciiTheme="minorHAnsi" w:hAnsiTheme="minorHAnsi" w:cstheme="minorHAnsi"/>
              </w:rPr>
            </w:pPr>
            <w:r w:rsidRPr="008D4697">
              <w:rPr>
                <w:rFonts w:asciiTheme="minorHAnsi" w:hAnsiTheme="minorHAnsi" w:cstheme="minorHAnsi"/>
              </w:rPr>
              <w:t>Portugal</w:t>
            </w:r>
          </w:p>
        </w:tc>
        <w:tc>
          <w:tcPr>
            <w:tcW w:w="1575" w:type="dxa"/>
            <w:vAlign w:val="center"/>
          </w:tcPr>
          <w:p w14:paraId="52728BC1" w14:textId="4BC367E2" w:rsidR="00832A8D" w:rsidRPr="008D4697" w:rsidRDefault="00832A8D" w:rsidP="00832A8D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Gravimetric method</w:t>
            </w:r>
          </w:p>
        </w:tc>
        <w:tc>
          <w:tcPr>
            <w:tcW w:w="1771" w:type="dxa"/>
            <w:vAlign w:val="center"/>
          </w:tcPr>
          <w:p w14:paraId="0F684841" w14:textId="06C569C6" w:rsidR="00832A8D" w:rsidRPr="00AC1000" w:rsidRDefault="00832A8D" w:rsidP="00832A8D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AC1000">
              <w:rPr>
                <w:rFonts w:asciiTheme="minorHAnsi" w:hAnsiTheme="minorHAnsi" w:cstheme="minorHAnsi"/>
                <w:sz w:val="20"/>
                <w:szCs w:val="20"/>
              </w:rPr>
              <w:t>1 to 2 000</w:t>
            </w:r>
          </w:p>
        </w:tc>
        <w:tc>
          <w:tcPr>
            <w:tcW w:w="3568" w:type="dxa"/>
            <w:vAlign w:val="center"/>
          </w:tcPr>
          <w:p w14:paraId="2EA890A0" w14:textId="77777777" w:rsidR="00832A8D" w:rsidRPr="009E122E" w:rsidRDefault="00832A8D" w:rsidP="00832A8D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</w:tbl>
    <w:p w14:paraId="389BEA0F" w14:textId="77777777" w:rsidR="00A91B38" w:rsidRDefault="00A91B38" w:rsidP="00BC69B7"/>
    <w:p w14:paraId="038A1D79" w14:textId="1EE454F4" w:rsidR="002334B5" w:rsidRPr="006F035E" w:rsidRDefault="00C27221" w:rsidP="00CE3D5C">
      <w:pPr>
        <w:pStyle w:val="Nadpis2"/>
      </w:pPr>
      <w:bookmarkStart w:id="14" w:name="_Toc193212497"/>
      <w:r w:rsidRPr="006F035E">
        <w:t>Calibration protocol and measurement conditions</w:t>
      </w:r>
      <w:bookmarkEnd w:id="14"/>
    </w:p>
    <w:p w14:paraId="05FDA8BA" w14:textId="19023E31" w:rsidR="00C27221" w:rsidRPr="006F035E" w:rsidRDefault="00C27221" w:rsidP="00CE3D5C">
      <w:r w:rsidRPr="006F035E">
        <w:t xml:space="preserve">In this section the calibration protocol is </w:t>
      </w:r>
      <w:r w:rsidR="005B433F" w:rsidRPr="006F035E">
        <w:t>described</w:t>
      </w:r>
      <w:r w:rsidRPr="006F035E">
        <w:t xml:space="preserve"> and the range of measurement conditions are given.</w:t>
      </w:r>
    </w:p>
    <w:p w14:paraId="602B7DDD" w14:textId="77777777" w:rsidR="00B428C6" w:rsidRPr="006F035E" w:rsidRDefault="00B428C6" w:rsidP="00CE3D5C">
      <w:r w:rsidRPr="006F035E">
        <w:t>Participating laboratory ensures the following conditions during the measurements:</w:t>
      </w:r>
    </w:p>
    <w:p w14:paraId="7F88767A" w14:textId="085AA872" w:rsidR="00B428C6" w:rsidRPr="006F035E" w:rsidRDefault="00B428C6" w:rsidP="00CE3D5C">
      <w:pPr>
        <w:pStyle w:val="Odstavecseseznamem"/>
        <w:numPr>
          <w:ilvl w:val="0"/>
          <w:numId w:val="30"/>
        </w:numPr>
      </w:pPr>
      <w:r w:rsidRPr="006F035E">
        <w:t xml:space="preserve">working fluid temperature: 20 </w:t>
      </w:r>
      <w:r w:rsidR="00AF4030">
        <w:t xml:space="preserve">°C </w:t>
      </w:r>
      <w:r w:rsidRPr="006F035E">
        <w:t>± 5 °C</w:t>
      </w:r>
    </w:p>
    <w:p w14:paraId="31361571" w14:textId="0E604B7F" w:rsidR="00B428C6" w:rsidRPr="006F035E" w:rsidRDefault="00B428C6" w:rsidP="00CE3D5C">
      <w:pPr>
        <w:pStyle w:val="Odstavecseseznamem"/>
        <w:numPr>
          <w:ilvl w:val="0"/>
          <w:numId w:val="30"/>
        </w:numPr>
      </w:pPr>
      <w:r w:rsidRPr="006F035E">
        <w:t xml:space="preserve">ambient temperature: 20 </w:t>
      </w:r>
      <w:r w:rsidR="00AF4030">
        <w:t xml:space="preserve">°C </w:t>
      </w:r>
      <w:r w:rsidRPr="006F035E">
        <w:t>± 5 °C</w:t>
      </w:r>
    </w:p>
    <w:p w14:paraId="02E151EB" w14:textId="021F226F" w:rsidR="00B428C6" w:rsidRPr="006F035E" w:rsidRDefault="00B428C6" w:rsidP="00CE3D5C">
      <w:pPr>
        <w:pStyle w:val="Odstavecseseznamem"/>
        <w:numPr>
          <w:ilvl w:val="0"/>
          <w:numId w:val="30"/>
        </w:numPr>
      </w:pPr>
      <w:r w:rsidRPr="006F035E">
        <w:t>ambient humidity: from 30</w:t>
      </w:r>
      <w:r w:rsidR="00AF4030">
        <w:t xml:space="preserve"> %</w:t>
      </w:r>
      <w:r w:rsidRPr="006F035E">
        <w:t xml:space="preserve"> to 80 %</w:t>
      </w:r>
    </w:p>
    <w:p w14:paraId="19104AE3" w14:textId="61975688" w:rsidR="00B428C6" w:rsidRPr="006F035E" w:rsidRDefault="00B428C6" w:rsidP="00CE3D5C">
      <w:pPr>
        <w:pStyle w:val="Odstavecseseznamem"/>
        <w:numPr>
          <w:ilvl w:val="0"/>
          <w:numId w:val="30"/>
        </w:numPr>
      </w:pPr>
      <w:r w:rsidRPr="006F035E">
        <w:t xml:space="preserve">atmosphere pressure: from 86 </w:t>
      </w:r>
      <w:r w:rsidR="00AF4030">
        <w:t xml:space="preserve">kPa </w:t>
      </w:r>
      <w:r w:rsidRPr="006F035E">
        <w:t>to 106 kPa</w:t>
      </w:r>
    </w:p>
    <w:p w14:paraId="2115A7E2" w14:textId="670BF1D1" w:rsidR="00B428C6" w:rsidRPr="006F035E" w:rsidRDefault="00AF4030" w:rsidP="00CE3D5C">
      <w:pPr>
        <w:pStyle w:val="Odstavecseseznamem"/>
        <w:numPr>
          <w:ilvl w:val="0"/>
          <w:numId w:val="30"/>
        </w:numPr>
      </w:pPr>
      <w:r w:rsidRPr="00AF4030">
        <w:t>absence of free air in the measuring line of the standard</w:t>
      </w:r>
      <w:r w:rsidR="00B428C6" w:rsidRPr="006F035E">
        <w:t>.</w:t>
      </w:r>
    </w:p>
    <w:p w14:paraId="56D6432C" w14:textId="77777777" w:rsidR="00B428C6" w:rsidRPr="006F035E" w:rsidRDefault="00B428C6" w:rsidP="00CE3D5C">
      <w:r w:rsidRPr="006F035E">
        <w:t>Before starting work, it is necessary to withstand at least 8 hours in the laboratory room.</w:t>
      </w:r>
    </w:p>
    <w:p w14:paraId="723E6FF6" w14:textId="69C75BE9" w:rsidR="00A458BB" w:rsidRDefault="00A458BB" w:rsidP="00CE3D5C">
      <w:pPr>
        <w:pStyle w:val="Nadpis2"/>
      </w:pPr>
      <w:bookmarkStart w:id="15" w:name="_Ref189665187"/>
      <w:bookmarkStart w:id="16" w:name="_Toc193212498"/>
      <w:r>
        <w:t>Zeroing procedure for TS1 and TS2</w:t>
      </w:r>
      <w:bookmarkEnd w:id="15"/>
      <w:bookmarkEnd w:id="16"/>
    </w:p>
    <w:p w14:paraId="390F6B1E" w14:textId="02538D79" w:rsidR="00A458BB" w:rsidRPr="00A458BB" w:rsidRDefault="001E4880" w:rsidP="00A458BB">
      <w:r>
        <w:rPr>
          <w:highlight w:val="yellow"/>
        </w:rPr>
        <w:t>Will be a</w:t>
      </w:r>
      <w:r w:rsidR="00A458BB" w:rsidRPr="00A458BB">
        <w:rPr>
          <w:highlight w:val="yellow"/>
        </w:rPr>
        <w:t>dd</w:t>
      </w:r>
      <w:r>
        <w:rPr>
          <w:highlight w:val="yellow"/>
        </w:rPr>
        <w:t xml:space="preserve">ed a </w:t>
      </w:r>
      <w:r w:rsidR="00A458BB" w:rsidRPr="00A458BB">
        <w:rPr>
          <w:highlight w:val="yellow"/>
        </w:rPr>
        <w:t xml:space="preserve">screenshots of the software </w:t>
      </w:r>
      <w:proofErr w:type="spellStart"/>
      <w:r w:rsidR="00A458BB" w:rsidRPr="00A458BB">
        <w:rPr>
          <w:highlight w:val="yellow"/>
        </w:rPr>
        <w:t>FlowPlot</w:t>
      </w:r>
      <w:proofErr w:type="spellEnd"/>
      <w:r w:rsidR="00A458BB" w:rsidRPr="00A458BB">
        <w:rPr>
          <w:highlight w:val="yellow"/>
        </w:rPr>
        <w:t xml:space="preserve"> here</w:t>
      </w:r>
    </w:p>
    <w:p w14:paraId="1B901249" w14:textId="15E44BD9" w:rsidR="003145CE" w:rsidRPr="007B4FDB" w:rsidRDefault="005B433F" w:rsidP="00CE3D5C">
      <w:pPr>
        <w:pStyle w:val="Nadpis2"/>
      </w:pPr>
      <w:bookmarkStart w:id="17" w:name="_Toc193212499"/>
      <w:r w:rsidRPr="007B4FDB">
        <w:t>T</w:t>
      </w:r>
      <w:r w:rsidR="003145CE" w:rsidRPr="007B4FDB">
        <w:t xml:space="preserve">ransfer standard </w:t>
      </w:r>
      <w:r w:rsidR="00E6026C">
        <w:t xml:space="preserve">1: </w:t>
      </w:r>
      <w:r w:rsidR="005129C7" w:rsidRPr="007B4FDB">
        <w:t>ML120</w:t>
      </w:r>
      <w:bookmarkEnd w:id="17"/>
    </w:p>
    <w:p w14:paraId="011A459A" w14:textId="68C0FACB" w:rsidR="00C0692F" w:rsidRPr="007B4FDB" w:rsidRDefault="00C0692F" w:rsidP="00CE3D5C">
      <w:r w:rsidRPr="007B4FDB">
        <w:t>Perform a static calibration in accordance with your internal calibration procedure</w:t>
      </w:r>
      <w:r w:rsidR="00DA52BC" w:rsidRPr="007B4FDB">
        <w:t xml:space="preserve"> (mass and time are not prescribed)</w:t>
      </w:r>
      <w:r w:rsidRPr="007B4FDB">
        <w:t xml:space="preserve">, and </w:t>
      </w:r>
      <w:r w:rsidR="00E6026C" w:rsidRPr="007B4FDB">
        <w:t>respect</w:t>
      </w:r>
      <w:r w:rsidRPr="007B4FDB">
        <w:t xml:space="preserve"> the following requirements:</w:t>
      </w:r>
    </w:p>
    <w:p w14:paraId="5F4E2CD9" w14:textId="36293F43" w:rsidR="00583ABE" w:rsidRPr="007B4FDB" w:rsidRDefault="00C0692F" w:rsidP="00583ABE">
      <w:pPr>
        <w:pStyle w:val="Odstavecseseznamem"/>
        <w:numPr>
          <w:ilvl w:val="0"/>
          <w:numId w:val="30"/>
        </w:numPr>
      </w:pPr>
      <w:r w:rsidRPr="007B4FDB">
        <w:t xml:space="preserve">Install, purge and warm-up the </w:t>
      </w:r>
      <w:r w:rsidR="005129C7" w:rsidRPr="007B4FDB">
        <w:t xml:space="preserve">transfer standard </w:t>
      </w:r>
      <w:r w:rsidR="006E6842">
        <w:t>u</w:t>
      </w:r>
      <w:r w:rsidRPr="007B4FDB">
        <w:t>sing your internal procedures.</w:t>
      </w:r>
    </w:p>
    <w:p w14:paraId="107C02EE" w14:textId="29559BDE" w:rsidR="00A458BB" w:rsidRPr="000021D6" w:rsidRDefault="00A458BB" w:rsidP="00CE3D5C">
      <w:pPr>
        <w:pStyle w:val="Odstavecseseznamem"/>
        <w:numPr>
          <w:ilvl w:val="0"/>
          <w:numId w:val="30"/>
        </w:numPr>
      </w:pPr>
      <w:r w:rsidRPr="000021D6">
        <w:t>Close the valves upstream and downstream of the transfer standard and record the indication of the flow meter</w:t>
      </w:r>
      <w:r w:rsidR="00000FA1" w:rsidRPr="000021D6">
        <w:t xml:space="preserve"> during a period long enough to check its stability</w:t>
      </w:r>
      <w:r w:rsidRPr="000021D6">
        <w:t>. This value will be used to correct the measurements.</w:t>
      </w:r>
    </w:p>
    <w:p w14:paraId="15381B10" w14:textId="40891923" w:rsidR="00A458BB" w:rsidRPr="000021D6" w:rsidRDefault="00A458BB" w:rsidP="00CE3D5C">
      <w:pPr>
        <w:pStyle w:val="Odstavecseseznamem"/>
        <w:numPr>
          <w:ilvl w:val="0"/>
          <w:numId w:val="30"/>
        </w:numPr>
      </w:pPr>
      <w:r w:rsidRPr="000021D6">
        <w:lastRenderedPageBreak/>
        <w:t xml:space="preserve">If needed, perform the zeroing procedure for TS1 according to section </w:t>
      </w:r>
      <w:r w:rsidRPr="000021D6">
        <w:fldChar w:fldCharType="begin"/>
      </w:r>
      <w:r w:rsidRPr="000021D6">
        <w:instrText xml:space="preserve"> REF _Ref189665187 \r \h </w:instrText>
      </w:r>
      <w:r w:rsidR="000021D6">
        <w:instrText xml:space="preserve"> \* MERGEFORMAT </w:instrText>
      </w:r>
      <w:r w:rsidRPr="000021D6">
        <w:fldChar w:fldCharType="separate"/>
      </w:r>
      <w:r w:rsidRPr="000021D6">
        <w:t>4.4</w:t>
      </w:r>
      <w:r w:rsidRPr="000021D6">
        <w:fldChar w:fldCharType="end"/>
      </w:r>
      <w:r w:rsidRPr="000021D6">
        <w:t>, then record the new value with no flow.</w:t>
      </w:r>
    </w:p>
    <w:p w14:paraId="1C9B6AE2" w14:textId="645D8CB4" w:rsidR="00C0692F" w:rsidRPr="000021D6" w:rsidRDefault="00C0692F" w:rsidP="00CE3D5C">
      <w:pPr>
        <w:pStyle w:val="Odstavecseseznamem"/>
        <w:numPr>
          <w:ilvl w:val="0"/>
          <w:numId w:val="30"/>
        </w:numPr>
      </w:pPr>
      <w:r w:rsidRPr="007B4FDB">
        <w:t xml:space="preserve">Perform a static calibration (constant and regulated flow rate) with water at room temperature </w:t>
      </w:r>
      <w:r w:rsidR="006E6842">
        <w:t>(</w:t>
      </w:r>
      <w:r w:rsidR="006E6842" w:rsidRPr="006F035E">
        <w:t>20</w:t>
      </w:r>
      <w:r w:rsidR="006E6842">
        <w:t> </w:t>
      </w:r>
      <w:r w:rsidR="006E6842" w:rsidRPr="006F035E">
        <w:t>±</w:t>
      </w:r>
      <w:r w:rsidR="006E6842">
        <w:t> </w:t>
      </w:r>
      <w:r w:rsidR="006E6842" w:rsidRPr="006F035E">
        <w:t>5</w:t>
      </w:r>
      <w:r w:rsidR="00AF4030">
        <w:t>)</w:t>
      </w:r>
      <w:r w:rsidR="006E6842">
        <w:t> </w:t>
      </w:r>
      <w:r w:rsidR="006E6842" w:rsidRPr="006F035E">
        <w:t>°C</w:t>
      </w:r>
      <w:r w:rsidR="006E6842">
        <w:t xml:space="preserve"> </w:t>
      </w:r>
      <w:r w:rsidR="00A458BB">
        <w:t xml:space="preserve">by recording the indication of TS1 </w:t>
      </w:r>
      <w:r w:rsidRPr="007B4FDB">
        <w:t>at the following flows</w:t>
      </w:r>
      <w:r w:rsidR="00583ABE">
        <w:t>. E</w:t>
      </w:r>
      <w:r w:rsidR="00DA52BC" w:rsidRPr="007B4FDB">
        <w:t xml:space="preserve">ach </w:t>
      </w:r>
      <w:r w:rsidR="00223048" w:rsidRPr="007B4FDB">
        <w:t xml:space="preserve">point </w:t>
      </w:r>
      <w:r w:rsidR="006E6842" w:rsidRPr="007B4FDB">
        <w:t>must</w:t>
      </w:r>
      <w:r w:rsidR="00223048" w:rsidRPr="007B4FDB">
        <w:t xml:space="preserve"> be</w:t>
      </w:r>
      <w:r w:rsidRPr="007B4FDB">
        <w:t xml:space="preserve"> </w:t>
      </w:r>
      <w:r w:rsidR="006E6842">
        <w:t>measured</w:t>
      </w:r>
      <w:r w:rsidRPr="007B4FDB">
        <w:t xml:space="preserve"> </w:t>
      </w:r>
      <w:r w:rsidR="0020117D" w:rsidRPr="007B4FDB">
        <w:rPr>
          <w:b/>
          <w:u w:val="single"/>
        </w:rPr>
        <w:t xml:space="preserve">5 </w:t>
      </w:r>
      <w:r w:rsidRPr="007B4FDB">
        <w:rPr>
          <w:b/>
          <w:u w:val="single"/>
        </w:rPr>
        <w:t>times</w:t>
      </w:r>
      <w:r w:rsidR="00583ABE">
        <w:t xml:space="preserve">. </w:t>
      </w:r>
      <w:r w:rsidR="00583ABE" w:rsidRPr="000021D6">
        <w:t xml:space="preserve">Maximum upstream pressure: </w:t>
      </w:r>
      <w:r w:rsidR="00F100E2" w:rsidRPr="000021D6">
        <w:t>8</w:t>
      </w:r>
      <w:r w:rsidR="00583ABE" w:rsidRPr="000021D6">
        <w:t xml:space="preserve"> bar.</w:t>
      </w:r>
    </w:p>
    <w:p w14:paraId="116015D4" w14:textId="50AA2DB2" w:rsidR="00C0692F" w:rsidRPr="007B4FDB" w:rsidRDefault="005129C7" w:rsidP="00CE3D5C">
      <w:pPr>
        <w:pStyle w:val="Odstavecseseznamem"/>
        <w:numPr>
          <w:ilvl w:val="1"/>
          <w:numId w:val="30"/>
        </w:numPr>
      </w:pPr>
      <w:r w:rsidRPr="007B4FDB">
        <w:t>1</w:t>
      </w:r>
      <w:r w:rsidR="001B7F9E" w:rsidRPr="007B4FDB">
        <w:t xml:space="preserve"> </w:t>
      </w:r>
      <w:r w:rsidRPr="007B4FDB">
        <w:t>g</w:t>
      </w:r>
      <w:r w:rsidR="00C0692F" w:rsidRPr="007B4FDB">
        <w:t>/h</w:t>
      </w:r>
    </w:p>
    <w:p w14:paraId="2E32228F" w14:textId="38DEA69A" w:rsidR="00C0692F" w:rsidRPr="007B4FDB" w:rsidRDefault="001B7F9E" w:rsidP="00CE3D5C">
      <w:pPr>
        <w:pStyle w:val="Odstavecseseznamem"/>
        <w:numPr>
          <w:ilvl w:val="1"/>
          <w:numId w:val="30"/>
        </w:numPr>
      </w:pPr>
      <w:r w:rsidRPr="007B4FDB">
        <w:t>5 g</w:t>
      </w:r>
      <w:r w:rsidR="00C0692F" w:rsidRPr="007B4FDB">
        <w:t>/h</w:t>
      </w:r>
    </w:p>
    <w:p w14:paraId="546498CC" w14:textId="7DFEF3DF" w:rsidR="00C0692F" w:rsidRPr="007B4FDB" w:rsidRDefault="005129C7" w:rsidP="00CE3D5C">
      <w:pPr>
        <w:pStyle w:val="Odstavecseseznamem"/>
        <w:numPr>
          <w:ilvl w:val="1"/>
          <w:numId w:val="30"/>
        </w:numPr>
      </w:pPr>
      <w:r w:rsidRPr="007B4FDB">
        <w:t>10</w:t>
      </w:r>
      <w:r w:rsidR="001B7F9E" w:rsidRPr="007B4FDB">
        <w:t xml:space="preserve"> g</w:t>
      </w:r>
      <w:r w:rsidR="00C0692F" w:rsidRPr="007B4FDB">
        <w:t>/h</w:t>
      </w:r>
    </w:p>
    <w:p w14:paraId="3246A393" w14:textId="2D8C64AC" w:rsidR="00C0692F" w:rsidRPr="007B4FDB" w:rsidRDefault="005129C7" w:rsidP="00CE3D5C">
      <w:pPr>
        <w:pStyle w:val="Odstavecseseznamem"/>
        <w:numPr>
          <w:ilvl w:val="1"/>
          <w:numId w:val="30"/>
        </w:numPr>
      </w:pPr>
      <w:r w:rsidRPr="007B4FDB">
        <w:t>50</w:t>
      </w:r>
      <w:r w:rsidR="001B7F9E" w:rsidRPr="007B4FDB">
        <w:t xml:space="preserve"> g</w:t>
      </w:r>
      <w:r w:rsidR="00C0692F" w:rsidRPr="007B4FDB">
        <w:t>/h</w:t>
      </w:r>
    </w:p>
    <w:p w14:paraId="5AFE1398" w14:textId="08FEAF01" w:rsidR="00C0692F" w:rsidRPr="007B4FDB" w:rsidRDefault="005129C7" w:rsidP="00CE3D5C">
      <w:pPr>
        <w:pStyle w:val="Odstavecseseznamem"/>
        <w:numPr>
          <w:ilvl w:val="1"/>
          <w:numId w:val="30"/>
        </w:numPr>
      </w:pPr>
      <w:r w:rsidRPr="007B4FDB">
        <w:t>100</w:t>
      </w:r>
      <w:r w:rsidR="001B7F9E" w:rsidRPr="007B4FDB">
        <w:t xml:space="preserve"> g</w:t>
      </w:r>
      <w:r w:rsidR="00C0692F" w:rsidRPr="007B4FDB">
        <w:t>/h</w:t>
      </w:r>
    </w:p>
    <w:p w14:paraId="361CF2E7" w14:textId="2B3443D5" w:rsidR="005129C7" w:rsidRPr="007B4FDB" w:rsidRDefault="005129C7" w:rsidP="00CE3D5C">
      <w:pPr>
        <w:pStyle w:val="Odstavecseseznamem"/>
        <w:numPr>
          <w:ilvl w:val="1"/>
          <w:numId w:val="30"/>
        </w:numPr>
      </w:pPr>
      <w:r w:rsidRPr="007B4FDB">
        <w:t>150 g/h</w:t>
      </w:r>
    </w:p>
    <w:p w14:paraId="40DC59BC" w14:textId="1C67A238" w:rsidR="005129C7" w:rsidRDefault="005129C7" w:rsidP="00CE3D5C">
      <w:pPr>
        <w:pStyle w:val="Odstavecseseznamem"/>
        <w:numPr>
          <w:ilvl w:val="1"/>
          <w:numId w:val="30"/>
        </w:numPr>
      </w:pPr>
      <w:r w:rsidRPr="007B4FDB">
        <w:t>200 g/h</w:t>
      </w:r>
    </w:p>
    <w:p w14:paraId="7DDDE425" w14:textId="48C47565" w:rsidR="00A458BB" w:rsidRPr="000021D6" w:rsidRDefault="00A458BB" w:rsidP="00CE3D5C">
      <w:pPr>
        <w:pStyle w:val="Odstavecseseznamem"/>
        <w:numPr>
          <w:ilvl w:val="0"/>
          <w:numId w:val="30"/>
        </w:numPr>
      </w:pPr>
      <w:r w:rsidRPr="000021D6">
        <w:t xml:space="preserve">After the last measurement, close the valves upstream and downstream of the transfer standard and record the indication of the flow meter with no flow </w:t>
      </w:r>
      <w:r w:rsidR="003053EA" w:rsidRPr="000021D6">
        <w:t>to check for deviation</w:t>
      </w:r>
      <w:r w:rsidR="006E6842" w:rsidRPr="000021D6">
        <w:t>.</w:t>
      </w:r>
    </w:p>
    <w:p w14:paraId="766FB654" w14:textId="144F1742" w:rsidR="00C0692F" w:rsidRPr="000021D6" w:rsidRDefault="00A458BB" w:rsidP="00A458BB">
      <w:pPr>
        <w:pStyle w:val="Odstavecseseznamem"/>
        <w:numPr>
          <w:ilvl w:val="1"/>
          <w:numId w:val="30"/>
        </w:numPr>
      </w:pPr>
      <w:r w:rsidRPr="000021D6">
        <w:t>It is advised to record</w:t>
      </w:r>
      <w:r w:rsidR="006E6842" w:rsidRPr="000021D6">
        <w:t xml:space="preserve"> a zero after each point to check for deviation before changing for the next flow rate.</w:t>
      </w:r>
    </w:p>
    <w:p w14:paraId="25E3CC52" w14:textId="3E769FDC" w:rsidR="00A458BB" w:rsidRPr="000021D6" w:rsidRDefault="00A458BB" w:rsidP="00A458BB">
      <w:pPr>
        <w:pStyle w:val="Odstavecseseznamem"/>
        <w:numPr>
          <w:ilvl w:val="1"/>
          <w:numId w:val="30"/>
        </w:numPr>
      </w:pPr>
      <w:r w:rsidRPr="000021D6">
        <w:t xml:space="preserve">If the calibration cannot be performed continuously (e.g. </w:t>
      </w:r>
      <w:r w:rsidR="00F3299A" w:rsidRPr="000021D6">
        <w:t>spread over two days), i</w:t>
      </w:r>
      <w:r w:rsidRPr="000021D6">
        <w:t xml:space="preserve">t is advised to record a zero </w:t>
      </w:r>
      <w:r w:rsidR="00F3299A" w:rsidRPr="000021D6">
        <w:t>after the last point before the break, and after the break before resuming calibration.</w:t>
      </w:r>
    </w:p>
    <w:p w14:paraId="4B42556A" w14:textId="6D554103" w:rsidR="007B4FDB" w:rsidRPr="007B4FDB" w:rsidRDefault="007B4FDB" w:rsidP="00CE3D5C">
      <w:pPr>
        <w:pStyle w:val="Nadpis2"/>
      </w:pPr>
      <w:bookmarkStart w:id="18" w:name="_Toc193212500"/>
      <w:r w:rsidRPr="007B4FDB">
        <w:t>Transfer standard</w:t>
      </w:r>
      <w:r w:rsidR="00E6026C">
        <w:t xml:space="preserve"> 2:</w:t>
      </w:r>
      <w:r w:rsidRPr="007B4FDB">
        <w:t xml:space="preserve"> </w:t>
      </w:r>
      <w:r w:rsidR="00681596" w:rsidRPr="006F035E">
        <w:t>M14</w:t>
      </w:r>
      <w:bookmarkEnd w:id="18"/>
    </w:p>
    <w:p w14:paraId="4AD39B79" w14:textId="77201E8B" w:rsidR="007B4FDB" w:rsidRPr="007B4FDB" w:rsidRDefault="007B4FDB" w:rsidP="00CE3D5C">
      <w:r w:rsidRPr="007B4FDB">
        <w:t>Perform a static calibration in accordance with your internal calibration procedure (mass and time are  not prescribed), and respect the following requirements:</w:t>
      </w:r>
    </w:p>
    <w:p w14:paraId="3300543D" w14:textId="2640BAED" w:rsidR="007B4FDB" w:rsidRPr="007B4FDB" w:rsidRDefault="007B4FDB" w:rsidP="00CE3D5C">
      <w:pPr>
        <w:pStyle w:val="Odstavecseseznamem"/>
        <w:numPr>
          <w:ilvl w:val="0"/>
          <w:numId w:val="30"/>
        </w:numPr>
      </w:pPr>
      <w:r w:rsidRPr="007B4FDB">
        <w:t xml:space="preserve">Install, purge and warm-up the transfer standard </w:t>
      </w:r>
      <w:r w:rsidR="00AF4030">
        <w:t>u</w:t>
      </w:r>
      <w:r w:rsidRPr="007B4FDB">
        <w:t xml:space="preserve">sing your internal procedures. </w:t>
      </w:r>
    </w:p>
    <w:p w14:paraId="791A9088" w14:textId="77777777" w:rsidR="00F3299A" w:rsidRPr="007B4FDB" w:rsidRDefault="00F3299A" w:rsidP="00F3299A">
      <w:pPr>
        <w:pStyle w:val="Odstavecseseznamem"/>
        <w:numPr>
          <w:ilvl w:val="0"/>
          <w:numId w:val="30"/>
        </w:numPr>
      </w:pPr>
      <w:r w:rsidRPr="007B4FDB">
        <w:t xml:space="preserve">Install, purge and warm-up the transfer standard </w:t>
      </w:r>
      <w:r>
        <w:t>u</w:t>
      </w:r>
      <w:r w:rsidRPr="007B4FDB">
        <w:t>sing your internal procedures.</w:t>
      </w:r>
    </w:p>
    <w:p w14:paraId="0B27B6A2" w14:textId="16FFF3C9" w:rsidR="00F3299A" w:rsidRPr="000021D6" w:rsidRDefault="00F3299A" w:rsidP="00F3299A">
      <w:pPr>
        <w:pStyle w:val="Odstavecseseznamem"/>
        <w:numPr>
          <w:ilvl w:val="0"/>
          <w:numId w:val="30"/>
        </w:numPr>
      </w:pPr>
      <w:r w:rsidRPr="000021D6">
        <w:t>Close the valves upstream and downstream of the transfer standard and record the indication of the flow meter with no flow</w:t>
      </w:r>
      <w:r w:rsidR="00000FA1" w:rsidRPr="000021D6">
        <w:t xml:space="preserve"> during a period long enough to check its stability</w:t>
      </w:r>
      <w:r w:rsidRPr="000021D6">
        <w:t>. This value will be used to correct the measurements.</w:t>
      </w:r>
    </w:p>
    <w:p w14:paraId="0D9616D5" w14:textId="669632DF" w:rsidR="00F3299A" w:rsidRPr="000021D6" w:rsidRDefault="00F3299A" w:rsidP="00F3299A">
      <w:pPr>
        <w:pStyle w:val="Odstavecseseznamem"/>
        <w:numPr>
          <w:ilvl w:val="0"/>
          <w:numId w:val="30"/>
        </w:numPr>
      </w:pPr>
      <w:r w:rsidRPr="000021D6">
        <w:t xml:space="preserve">If needed, perform the zeroing procedure for TS1 according to section </w:t>
      </w:r>
      <w:r w:rsidRPr="000021D6">
        <w:fldChar w:fldCharType="begin"/>
      </w:r>
      <w:r w:rsidRPr="000021D6">
        <w:instrText xml:space="preserve"> REF _Ref189665187 \r \h </w:instrText>
      </w:r>
      <w:r w:rsidR="000021D6">
        <w:instrText xml:space="preserve"> \* MERGEFORMAT </w:instrText>
      </w:r>
      <w:r w:rsidRPr="000021D6">
        <w:fldChar w:fldCharType="separate"/>
      </w:r>
      <w:r w:rsidRPr="000021D6">
        <w:t>4.4</w:t>
      </w:r>
      <w:r w:rsidRPr="000021D6">
        <w:fldChar w:fldCharType="end"/>
      </w:r>
      <w:r w:rsidRPr="000021D6">
        <w:t>, then record the new value with no flow.</w:t>
      </w:r>
    </w:p>
    <w:p w14:paraId="51F6A2C6" w14:textId="3DE347D5" w:rsidR="00F3299A" w:rsidRPr="000021D6" w:rsidRDefault="00F3299A" w:rsidP="00F3299A">
      <w:pPr>
        <w:pStyle w:val="Odstavecseseznamem"/>
        <w:numPr>
          <w:ilvl w:val="0"/>
          <w:numId w:val="30"/>
        </w:numPr>
      </w:pPr>
      <w:r w:rsidRPr="007B4FDB">
        <w:t xml:space="preserve">Perform a static calibration (constant and regulated flow rate) with water at room temperature </w:t>
      </w:r>
      <w:r>
        <w:t>(</w:t>
      </w:r>
      <w:r w:rsidRPr="006F035E">
        <w:t>20</w:t>
      </w:r>
      <w:r>
        <w:t> </w:t>
      </w:r>
      <w:r w:rsidRPr="006F035E">
        <w:t>±</w:t>
      </w:r>
      <w:r>
        <w:t> </w:t>
      </w:r>
      <w:r w:rsidRPr="006F035E">
        <w:t>5</w:t>
      </w:r>
      <w:r w:rsidR="00AF4030">
        <w:t>)</w:t>
      </w:r>
      <w:r>
        <w:t> </w:t>
      </w:r>
      <w:r w:rsidRPr="006F035E">
        <w:t>°C</w:t>
      </w:r>
      <w:r>
        <w:t xml:space="preserve"> by recording the indication of TS1 </w:t>
      </w:r>
      <w:r w:rsidRPr="007B4FDB">
        <w:t>at the following flows</w:t>
      </w:r>
      <w:r>
        <w:t>. E</w:t>
      </w:r>
      <w:r w:rsidRPr="007B4FDB">
        <w:t xml:space="preserve">ach point must be </w:t>
      </w:r>
      <w:r>
        <w:t>measured</w:t>
      </w:r>
      <w:r w:rsidRPr="007B4FDB">
        <w:t xml:space="preserve"> </w:t>
      </w:r>
      <w:r w:rsidRPr="007B4FDB">
        <w:rPr>
          <w:b/>
          <w:u w:val="single"/>
        </w:rPr>
        <w:t>5 times</w:t>
      </w:r>
      <w:r>
        <w:t xml:space="preserve">. </w:t>
      </w:r>
      <w:r w:rsidRPr="000021D6">
        <w:t xml:space="preserve">Maximum upstream pressure: </w:t>
      </w:r>
      <w:r w:rsidR="00F100E2" w:rsidRPr="000021D6">
        <w:t>8</w:t>
      </w:r>
      <w:r w:rsidRPr="000021D6">
        <w:t xml:space="preserve"> bar.</w:t>
      </w:r>
    </w:p>
    <w:p w14:paraId="14522CD2" w14:textId="06388BE4" w:rsidR="00583ABE" w:rsidRPr="000021D6" w:rsidRDefault="00583ABE" w:rsidP="00CE3D5C">
      <w:pPr>
        <w:pStyle w:val="Odstavecseseznamem"/>
        <w:numPr>
          <w:ilvl w:val="1"/>
          <w:numId w:val="30"/>
        </w:numPr>
      </w:pPr>
      <w:r w:rsidRPr="000021D6">
        <w:t>200 g/h</w:t>
      </w:r>
    </w:p>
    <w:p w14:paraId="108BF214" w14:textId="3EE93990" w:rsidR="007B4FDB" w:rsidRPr="000021D6" w:rsidRDefault="007B4FDB" w:rsidP="00CE3D5C">
      <w:pPr>
        <w:pStyle w:val="Odstavecseseznamem"/>
        <w:numPr>
          <w:ilvl w:val="1"/>
          <w:numId w:val="30"/>
        </w:numPr>
      </w:pPr>
      <w:r w:rsidRPr="000021D6">
        <w:t>500 g/h</w:t>
      </w:r>
    </w:p>
    <w:p w14:paraId="63D2A9A1" w14:textId="65E21F3E" w:rsidR="007B4FDB" w:rsidRPr="000021D6" w:rsidRDefault="007B4FDB" w:rsidP="00CE3D5C">
      <w:pPr>
        <w:pStyle w:val="Odstavecseseznamem"/>
        <w:numPr>
          <w:ilvl w:val="1"/>
          <w:numId w:val="30"/>
        </w:numPr>
      </w:pPr>
      <w:r w:rsidRPr="000021D6">
        <w:t>1 000 g/h</w:t>
      </w:r>
    </w:p>
    <w:p w14:paraId="23C26074" w14:textId="2ED58868" w:rsidR="007B4FDB" w:rsidRPr="000021D6" w:rsidRDefault="007B4FDB" w:rsidP="00CE3D5C">
      <w:pPr>
        <w:pStyle w:val="Odstavecseseznamem"/>
        <w:numPr>
          <w:ilvl w:val="1"/>
          <w:numId w:val="30"/>
        </w:numPr>
      </w:pPr>
      <w:r w:rsidRPr="000021D6">
        <w:t>3 000 g/h</w:t>
      </w:r>
    </w:p>
    <w:p w14:paraId="72FB093F" w14:textId="50DED36C" w:rsidR="007B4FDB" w:rsidRPr="000021D6" w:rsidRDefault="007B4FDB" w:rsidP="00CE3D5C">
      <w:pPr>
        <w:pStyle w:val="Odstavecseseznamem"/>
        <w:numPr>
          <w:ilvl w:val="1"/>
          <w:numId w:val="30"/>
        </w:numPr>
      </w:pPr>
      <w:r w:rsidRPr="000021D6">
        <w:t>6 000 g/h</w:t>
      </w:r>
    </w:p>
    <w:p w14:paraId="239E9E30" w14:textId="76571E59" w:rsidR="007B4FDB" w:rsidRPr="000021D6" w:rsidRDefault="007B4FDB" w:rsidP="00CE3D5C">
      <w:pPr>
        <w:pStyle w:val="Odstavecseseznamem"/>
        <w:numPr>
          <w:ilvl w:val="1"/>
          <w:numId w:val="30"/>
        </w:numPr>
      </w:pPr>
      <w:r w:rsidRPr="000021D6">
        <w:t>10 000 g/</w:t>
      </w:r>
      <w:r w:rsidR="006E6842" w:rsidRPr="000021D6">
        <w:t>h</w:t>
      </w:r>
    </w:p>
    <w:p w14:paraId="17276B49" w14:textId="4E55A0D7" w:rsidR="007B4FDB" w:rsidRPr="000021D6" w:rsidRDefault="007B4FDB" w:rsidP="00CE3D5C">
      <w:pPr>
        <w:pStyle w:val="Odstavecseseznamem"/>
        <w:numPr>
          <w:ilvl w:val="1"/>
          <w:numId w:val="30"/>
        </w:numPr>
      </w:pPr>
      <w:r w:rsidRPr="000021D6">
        <w:t>15 000 g/h</w:t>
      </w:r>
    </w:p>
    <w:p w14:paraId="041DE852" w14:textId="77777777" w:rsidR="006008BE" w:rsidRPr="000021D6" w:rsidRDefault="007B4FDB" w:rsidP="00CE3D5C">
      <w:pPr>
        <w:pStyle w:val="Odstavecseseznamem"/>
        <w:numPr>
          <w:ilvl w:val="1"/>
          <w:numId w:val="30"/>
        </w:numPr>
      </w:pPr>
      <w:r w:rsidRPr="000021D6">
        <w:t>20 000 g/h</w:t>
      </w:r>
    </w:p>
    <w:p w14:paraId="4CCB2A36" w14:textId="3D2334EA" w:rsidR="006008BE" w:rsidRPr="000021D6" w:rsidRDefault="006008BE" w:rsidP="00CE3D5C">
      <w:pPr>
        <w:pStyle w:val="Odstavecseseznamem"/>
        <w:numPr>
          <w:ilvl w:val="1"/>
          <w:numId w:val="30"/>
        </w:numPr>
      </w:pPr>
      <w:r w:rsidRPr="000021D6">
        <w:lastRenderedPageBreak/>
        <w:t>30 000 g/h</w:t>
      </w:r>
    </w:p>
    <w:p w14:paraId="6F7D94AC" w14:textId="77777777" w:rsidR="00F3299A" w:rsidRPr="000021D6" w:rsidRDefault="00F3299A" w:rsidP="00F3299A">
      <w:pPr>
        <w:pStyle w:val="Odstavecseseznamem"/>
        <w:numPr>
          <w:ilvl w:val="0"/>
          <w:numId w:val="30"/>
        </w:numPr>
      </w:pPr>
      <w:bookmarkStart w:id="19" w:name="_Toc442197570"/>
      <w:r w:rsidRPr="000021D6">
        <w:t>After the last measurement, close the valves upstream and downstream of the transfer standard and record the indication of the flow meter with no flow to check for deviation.</w:t>
      </w:r>
    </w:p>
    <w:p w14:paraId="3FBD830B" w14:textId="77777777" w:rsidR="00F3299A" w:rsidRPr="000021D6" w:rsidRDefault="00F3299A" w:rsidP="00F3299A">
      <w:pPr>
        <w:pStyle w:val="Odstavecseseznamem"/>
        <w:numPr>
          <w:ilvl w:val="1"/>
          <w:numId w:val="30"/>
        </w:numPr>
      </w:pPr>
      <w:r w:rsidRPr="000021D6">
        <w:t>It is advised to record a zero after each point to check for deviation before changing for the next flow rate.</w:t>
      </w:r>
    </w:p>
    <w:p w14:paraId="645920E0" w14:textId="77777777" w:rsidR="00F3299A" w:rsidRPr="000021D6" w:rsidRDefault="00F3299A" w:rsidP="00F3299A">
      <w:pPr>
        <w:pStyle w:val="Odstavecseseznamem"/>
        <w:numPr>
          <w:ilvl w:val="1"/>
          <w:numId w:val="30"/>
        </w:numPr>
      </w:pPr>
      <w:r w:rsidRPr="000021D6">
        <w:t>If the calibration cannot be performed continuously (e.g. spread over two days), it is advised to record a zero after the last point before the break, and after the break before resuming calibration.</w:t>
      </w:r>
    </w:p>
    <w:p w14:paraId="043AF6AC" w14:textId="77777777" w:rsidR="00D962E9" w:rsidRPr="006F035E" w:rsidRDefault="00D962E9" w:rsidP="00CE3D5C">
      <w:pPr>
        <w:pStyle w:val="Nadpis2"/>
        <w:rPr>
          <w:rStyle w:val="Nadpis2Char"/>
          <w:b/>
        </w:rPr>
      </w:pPr>
      <w:bookmarkStart w:id="20" w:name="_Toc193212501"/>
      <w:r w:rsidRPr="006F035E">
        <w:rPr>
          <w:rStyle w:val="Nadpis2Char"/>
          <w:b/>
        </w:rPr>
        <w:t>Reporting the results</w:t>
      </w:r>
      <w:bookmarkEnd w:id="19"/>
      <w:bookmarkEnd w:id="20"/>
    </w:p>
    <w:p w14:paraId="6515CCCB" w14:textId="4874A621" w:rsidR="00D962E9" w:rsidRDefault="00D962E9" w:rsidP="00CE3D5C">
      <w:r w:rsidRPr="006F035E">
        <w:t xml:space="preserve">The following measured parameters should be reported: Indicated </w:t>
      </w:r>
      <w:r w:rsidR="00A6606A" w:rsidRPr="006F035E">
        <w:t xml:space="preserve">mass </w:t>
      </w:r>
      <w:r w:rsidRPr="006F035E">
        <w:t xml:space="preserve">flow rate by the meter, </w:t>
      </w:r>
      <w:r w:rsidR="00A50532" w:rsidRPr="006F035E">
        <w:t>Average Upstream Pressure</w:t>
      </w:r>
      <w:r w:rsidRPr="006F035E">
        <w:t xml:space="preserve"> and temperature at the meter location, relative error of the meter and </w:t>
      </w:r>
      <w:r w:rsidR="00D44893">
        <w:t>reported relative expanded uncertainty and expanded laboratory uncertainty</w:t>
      </w:r>
      <w:r w:rsidR="00D44893" w:rsidRPr="006F035E">
        <w:t xml:space="preserve"> </w:t>
      </w:r>
      <w:r w:rsidRPr="006F035E">
        <w:t>in the reference flow (</w:t>
      </w:r>
      <w:r w:rsidRPr="006F035E">
        <w:rPr>
          <w:i/>
        </w:rPr>
        <w:t>k</w:t>
      </w:r>
      <w:r w:rsidRPr="006F035E">
        <w:t xml:space="preserve">=2). For the uncertainty </w:t>
      </w:r>
      <w:r w:rsidR="004F72AC" w:rsidRPr="006F035E">
        <w:t xml:space="preserve">of </w:t>
      </w:r>
      <w:r w:rsidRPr="006F035E">
        <w:t>the reference flow</w:t>
      </w:r>
      <w:r w:rsidR="004F72AC" w:rsidRPr="006F035E">
        <w:t xml:space="preserve"> the</w:t>
      </w:r>
      <w:r w:rsidRPr="006F035E">
        <w:t xml:space="preserve"> CMC of the facility</w:t>
      </w:r>
      <w:r w:rsidR="004F72AC" w:rsidRPr="006F035E">
        <w:t xml:space="preserve"> should be used</w:t>
      </w:r>
      <w:r w:rsidRPr="006F035E">
        <w:t xml:space="preserve">. Following the WG-FF guidelines </w:t>
      </w:r>
      <w:r w:rsidRPr="006F035E">
        <w:fldChar w:fldCharType="begin"/>
      </w:r>
      <w:r w:rsidRPr="006F035E">
        <w:instrText xml:space="preserve"> REF _Ref409168574 \r \h </w:instrText>
      </w:r>
      <w:r w:rsidRPr="006F035E">
        <w:fldChar w:fldCharType="separate"/>
      </w:r>
      <w:r w:rsidR="00755E0E" w:rsidRPr="006F035E">
        <w:t>[1]</w:t>
      </w:r>
      <w:r w:rsidRPr="006F035E">
        <w:fldChar w:fldCharType="end"/>
      </w:r>
      <w:r w:rsidRPr="006F035E">
        <w:t xml:space="preserve"> , the CMC is determined as:</w:t>
      </w:r>
    </w:p>
    <w:p w14:paraId="7EDE896C" w14:textId="35A77EBA" w:rsidR="00821286" w:rsidRPr="006F035E" w:rsidRDefault="00000000" w:rsidP="00CE3D5C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CMC</m:t>
              </m:r>
            </m:sub>
          </m:sSub>
          <m:r>
            <w:rPr>
              <w:rFonts w:ascii="Cambria Math" w:hAnsi="Cambria Math"/>
            </w:rPr>
            <m:t>=2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base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95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repeat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,BED</m:t>
                              </m:r>
                            </m:sub>
                          </m:sSub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13FA1951" w14:textId="0DCC3219" w:rsidR="00D962E9" w:rsidRPr="006F035E" w:rsidRDefault="00D962E9" w:rsidP="00CE3D5C">
      <w:r w:rsidRPr="006F035E">
        <w:t xml:space="preserve">where </w:t>
      </w:r>
      <m:oMath>
        <m:r>
          <w:rPr>
            <w:rFonts w:ascii="Cambria Math" w:hAnsi="Cambria Math"/>
          </w:rPr>
          <m:t>s</m:t>
        </m:r>
      </m:oMath>
      <w:r w:rsidRPr="006F035E">
        <w:t xml:space="preserve"> is the sample standard deviation of </w:t>
      </w:r>
      <m:oMath>
        <m:r>
          <w:rPr>
            <w:rFonts w:ascii="Cambria Math" w:hAnsi="Cambria Math"/>
          </w:rPr>
          <m:t>n</m:t>
        </m:r>
      </m:oMath>
      <w:r w:rsidRPr="006F035E">
        <w:t xml:space="preserve"> repeatability measurements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  <w:vertAlign w:val="subscript"/>
              </w:rPr>
              <m:t>95</m:t>
            </m:r>
          </m:sub>
        </m:sSub>
      </m:oMath>
      <w:r w:rsidR="00821286">
        <w:t xml:space="preserve"> </w:t>
      </w:r>
      <w:r w:rsidRPr="006F035E">
        <w:t xml:space="preserve">is 95% confidence level </w:t>
      </w:r>
      <w:r w:rsidRPr="006F035E">
        <w:rPr>
          <w:i/>
        </w:rPr>
        <w:t>t</w:t>
      </w:r>
      <w:r w:rsidRPr="006F035E">
        <w:t xml:space="preserve">-value for </w:t>
      </w:r>
      <m:oMath>
        <m:r>
          <w:rPr>
            <w:rFonts w:ascii="Cambria Math" w:hAnsi="Cambria Math"/>
          </w:rPr>
          <m:t>n</m:t>
        </m:r>
      </m:oMath>
      <w:r w:rsidRPr="006F035E">
        <w:t xml:space="preserve">-1 degrees of freedom. </w:t>
      </w:r>
    </w:p>
    <w:p w14:paraId="529826FD" w14:textId="06B05625" w:rsidR="00234F02" w:rsidRPr="006F035E" w:rsidRDefault="004F72AC" w:rsidP="00CE3D5C">
      <w:r w:rsidRPr="006F035E">
        <w:t xml:space="preserve">The clear indication of the determination of the uncertainty of the reference flow is a prerequisite. </w:t>
      </w:r>
      <w:r w:rsidR="00D962E9" w:rsidRPr="006F035E">
        <w:t>Furthermore, it is requested to send the results to pilots within 1 month after the tests have been performed. Further, the participants are requested to use the table in the Excel sheet to report on the individual measurement results</w:t>
      </w:r>
      <w:r w:rsidR="00024C0E">
        <w:t xml:space="preserve">. </w:t>
      </w:r>
      <w:r w:rsidR="00D962E9" w:rsidRPr="006F035E">
        <w:t>This table has the following layout:</w:t>
      </w:r>
    </w:p>
    <w:p w14:paraId="5C5E88ED" w14:textId="05BF1C53" w:rsidR="0085048B" w:rsidRPr="00F21056" w:rsidRDefault="0085048B" w:rsidP="0085048B">
      <w:pPr>
        <w:pStyle w:val="Titulek"/>
        <w:keepNext/>
        <w:rPr>
          <w:lang w:val="en-US"/>
        </w:rPr>
      </w:pPr>
      <w:r w:rsidRPr="00F21056">
        <w:rPr>
          <w:lang w:val="en-US"/>
        </w:rPr>
        <w:t xml:space="preserve">Table </w:t>
      </w:r>
      <w:r>
        <w:fldChar w:fldCharType="begin"/>
      </w:r>
      <w:r w:rsidRPr="00F21056">
        <w:rPr>
          <w:lang w:val="en-US"/>
        </w:rPr>
        <w:instrText xml:space="preserve"> SEQ Table \* ARABIC </w:instrText>
      </w:r>
      <w:r>
        <w:fldChar w:fldCharType="separate"/>
      </w:r>
      <w:r w:rsidRPr="00F21056">
        <w:rPr>
          <w:noProof/>
          <w:lang w:val="en-US"/>
        </w:rPr>
        <w:t>3</w:t>
      </w:r>
      <w:r>
        <w:fldChar w:fldCharType="end"/>
      </w:r>
      <w:r w:rsidRPr="00F21056">
        <w:rPr>
          <w:lang w:val="en-US"/>
        </w:rPr>
        <w:t>: Measurements results – for each TS</w:t>
      </w:r>
    </w:p>
    <w:tbl>
      <w:tblPr>
        <w:tblStyle w:val="Mkatabulky"/>
        <w:tblW w:w="9209" w:type="dxa"/>
        <w:jc w:val="center"/>
        <w:tblLook w:val="04A0" w:firstRow="1" w:lastRow="0" w:firstColumn="1" w:lastColumn="0" w:noHBand="0" w:noVBand="1"/>
      </w:tblPr>
      <w:tblGrid>
        <w:gridCol w:w="1025"/>
        <w:gridCol w:w="992"/>
        <w:gridCol w:w="1241"/>
        <w:gridCol w:w="676"/>
        <w:gridCol w:w="1037"/>
        <w:gridCol w:w="1037"/>
        <w:gridCol w:w="827"/>
        <w:gridCol w:w="1144"/>
        <w:gridCol w:w="1230"/>
      </w:tblGrid>
      <w:tr w:rsidR="00F3299A" w:rsidRPr="006F035E" w14:paraId="64EB1144" w14:textId="77777777" w:rsidTr="00F3299A">
        <w:trPr>
          <w:jc w:val="center"/>
        </w:trPr>
        <w:tc>
          <w:tcPr>
            <w:tcW w:w="1027" w:type="dxa"/>
            <w:shd w:val="clear" w:color="auto" w:fill="C6D9F1"/>
            <w:vAlign w:val="center"/>
          </w:tcPr>
          <w:p w14:paraId="1F303E8E" w14:textId="552A18EC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Reference flow</w:t>
            </w:r>
          </w:p>
        </w:tc>
        <w:tc>
          <w:tcPr>
            <w:tcW w:w="981" w:type="dxa"/>
            <w:shd w:val="clear" w:color="auto" w:fill="C6D9F1"/>
            <w:vAlign w:val="center"/>
          </w:tcPr>
          <w:p w14:paraId="4F533402" w14:textId="67BA6630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Mean upstream pressure</w:t>
            </w:r>
          </w:p>
        </w:tc>
        <w:tc>
          <w:tcPr>
            <w:tcW w:w="1232" w:type="dxa"/>
            <w:shd w:val="clear" w:color="auto" w:fill="C6D9F1"/>
            <w:vAlign w:val="center"/>
          </w:tcPr>
          <w:p w14:paraId="622CE7FF" w14:textId="37F1EA8A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Mean water temperature</w:t>
            </w:r>
          </w:p>
        </w:tc>
        <w:tc>
          <w:tcPr>
            <w:tcW w:w="667" w:type="dxa"/>
            <w:shd w:val="clear" w:color="auto" w:fill="C6D9F1"/>
          </w:tcPr>
          <w:p w14:paraId="04051CE8" w14:textId="14DF164A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TS mean flow</w:t>
            </w:r>
          </w:p>
        </w:tc>
        <w:tc>
          <w:tcPr>
            <w:tcW w:w="1036" w:type="dxa"/>
            <w:shd w:val="clear" w:color="auto" w:fill="C6D9F1"/>
          </w:tcPr>
          <w:p w14:paraId="6D36FD04" w14:textId="33336BFB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TS zero-flow correction</w:t>
            </w:r>
          </w:p>
        </w:tc>
        <w:tc>
          <w:tcPr>
            <w:tcW w:w="1036" w:type="dxa"/>
            <w:shd w:val="clear" w:color="auto" w:fill="C6D9F1"/>
          </w:tcPr>
          <w:p w14:paraId="77B8B260" w14:textId="524BDA8D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TS mean flow including zero-flow correction</w:t>
            </w:r>
          </w:p>
        </w:tc>
        <w:tc>
          <w:tcPr>
            <w:tcW w:w="817" w:type="dxa"/>
            <w:shd w:val="clear" w:color="auto" w:fill="C6D9F1"/>
            <w:vAlign w:val="center"/>
          </w:tcPr>
          <w:p w14:paraId="6FCCFCD2" w14:textId="4A14FB87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Mean relative error</w:t>
            </w:r>
          </w:p>
        </w:tc>
        <w:tc>
          <w:tcPr>
            <w:tcW w:w="1132" w:type="dxa"/>
            <w:shd w:val="clear" w:color="auto" w:fill="C6D9F1"/>
            <w:vAlign w:val="center"/>
          </w:tcPr>
          <w:p w14:paraId="392728C9" w14:textId="47BE219C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Reported relative expanded uncertainty</w:t>
            </w:r>
          </w:p>
          <w:p w14:paraId="629118A2" w14:textId="641C2D52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(k = 2)</w:t>
            </w:r>
          </w:p>
        </w:tc>
        <w:tc>
          <w:tcPr>
            <w:tcW w:w="1281" w:type="dxa"/>
            <w:shd w:val="clear" w:color="auto" w:fill="C6D9F1"/>
          </w:tcPr>
          <w:p w14:paraId="7AA6CC2D" w14:textId="28037FDA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Expanded</w:t>
            </w:r>
          </w:p>
          <w:p w14:paraId="56306208" w14:textId="6967D7AB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lab uncertainty (k = 2)</w:t>
            </w:r>
          </w:p>
        </w:tc>
      </w:tr>
      <w:tr w:rsidR="00F3299A" w:rsidRPr="006F035E" w14:paraId="473CB45F" w14:textId="77777777" w:rsidTr="00F3299A">
        <w:trPr>
          <w:jc w:val="center"/>
        </w:trPr>
        <w:tc>
          <w:tcPr>
            <w:tcW w:w="1027" w:type="dxa"/>
          </w:tcPr>
          <w:p w14:paraId="290239F1" w14:textId="02BD0A26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(g/h)</w:t>
            </w:r>
          </w:p>
        </w:tc>
        <w:tc>
          <w:tcPr>
            <w:tcW w:w="981" w:type="dxa"/>
          </w:tcPr>
          <w:p w14:paraId="66F70F4F" w14:textId="24E07A14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(</w:t>
            </w:r>
            <w:r w:rsidR="00AF4030"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bar</w:t>
            </w: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32" w:type="dxa"/>
          </w:tcPr>
          <w:p w14:paraId="1C160484" w14:textId="511E474D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(</w:t>
            </w:r>
            <w:r w:rsidR="00AF4030"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°C</w:t>
            </w: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67" w:type="dxa"/>
          </w:tcPr>
          <w:p w14:paraId="5B4D9DCA" w14:textId="0C935D79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(g/h)</w:t>
            </w:r>
          </w:p>
        </w:tc>
        <w:tc>
          <w:tcPr>
            <w:tcW w:w="1036" w:type="dxa"/>
          </w:tcPr>
          <w:p w14:paraId="0F383EFD" w14:textId="4875207E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(g/h)</w:t>
            </w:r>
          </w:p>
        </w:tc>
        <w:tc>
          <w:tcPr>
            <w:tcW w:w="1036" w:type="dxa"/>
          </w:tcPr>
          <w:p w14:paraId="2E730665" w14:textId="430C2CB0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(g/h)</w:t>
            </w:r>
          </w:p>
        </w:tc>
        <w:tc>
          <w:tcPr>
            <w:tcW w:w="817" w:type="dxa"/>
          </w:tcPr>
          <w:p w14:paraId="13B7EFCE" w14:textId="20881153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(</w:t>
            </w:r>
            <w:r w:rsidR="00AF4030"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%</w:t>
            </w: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32" w:type="dxa"/>
          </w:tcPr>
          <w:p w14:paraId="7BFA69C2" w14:textId="197E32F3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(%)</w:t>
            </w:r>
          </w:p>
        </w:tc>
        <w:tc>
          <w:tcPr>
            <w:tcW w:w="1281" w:type="dxa"/>
          </w:tcPr>
          <w:p w14:paraId="06E444C1" w14:textId="19755924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  <w:r w:rsidRPr="00122654"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  <w:t>(%)</w:t>
            </w:r>
          </w:p>
        </w:tc>
      </w:tr>
      <w:tr w:rsidR="00F3299A" w:rsidRPr="006F035E" w14:paraId="69B48253" w14:textId="77777777" w:rsidTr="00F3299A">
        <w:trPr>
          <w:jc w:val="center"/>
        </w:trPr>
        <w:tc>
          <w:tcPr>
            <w:tcW w:w="1027" w:type="dxa"/>
          </w:tcPr>
          <w:p w14:paraId="748F12CC" w14:textId="77777777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981" w:type="dxa"/>
          </w:tcPr>
          <w:p w14:paraId="0382E2E3" w14:textId="77777777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32" w:type="dxa"/>
          </w:tcPr>
          <w:p w14:paraId="4F46C893" w14:textId="77777777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67" w:type="dxa"/>
          </w:tcPr>
          <w:p w14:paraId="03AB1C6C" w14:textId="77777777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36" w:type="dxa"/>
          </w:tcPr>
          <w:p w14:paraId="3C9E48E9" w14:textId="2AA80FFD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36" w:type="dxa"/>
          </w:tcPr>
          <w:p w14:paraId="74A04C8E" w14:textId="77777777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817" w:type="dxa"/>
          </w:tcPr>
          <w:p w14:paraId="69898C63" w14:textId="57EB2FFD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132" w:type="dxa"/>
          </w:tcPr>
          <w:p w14:paraId="5CDB9BC3" w14:textId="77777777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6FF373F5" w14:textId="77777777" w:rsidR="00F3299A" w:rsidRPr="00122654" w:rsidRDefault="00F3299A" w:rsidP="00F3299A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69A60415" w14:textId="77777777" w:rsidR="00290DE5" w:rsidRDefault="00290DE5" w:rsidP="00CE3D5C"/>
    <w:p w14:paraId="28C6BD36" w14:textId="2FA0CECB" w:rsidR="00D962E9" w:rsidRPr="006F035E" w:rsidRDefault="00D962E9" w:rsidP="00CE3D5C">
      <w:r w:rsidRPr="006F035E">
        <w:rPr>
          <w:bCs/>
        </w:rPr>
        <w:t xml:space="preserve">The relative error of the transfer standard </w:t>
      </w:r>
      <m:oMath>
        <m:r>
          <w:rPr>
            <w:rFonts w:ascii="Cambria Math" w:hAnsi="Cambria Math"/>
          </w:rPr>
          <m:t>ε</m:t>
        </m:r>
      </m:oMath>
      <w:r w:rsidRPr="006F035E">
        <w:t xml:space="preserve"> in % is the quantity that will be used to compare the results. It is defined as the difference between the </w:t>
      </w:r>
      <w:r w:rsidR="00A6606A" w:rsidRPr="006F035E">
        <w:t>mass flow</w:t>
      </w:r>
      <w:r w:rsidRPr="006F035E">
        <w:t xml:space="preserve"> rate indicated by the transfer standard and the </w:t>
      </w:r>
      <w:r w:rsidR="00A6606A" w:rsidRPr="006F035E">
        <w:t>mass flow</w:t>
      </w:r>
      <w:r w:rsidRPr="006F035E">
        <w:t xml:space="preserve"> rate according to the reference: </w:t>
      </w:r>
    </w:p>
    <w:p w14:paraId="6B558B18" w14:textId="02EE17DE" w:rsidR="00D962E9" w:rsidRPr="006F035E" w:rsidRDefault="00D962E9" w:rsidP="00CE3D5C">
      <w:r w:rsidRPr="006F035E">
        <w:tab/>
      </w:r>
      <w:r w:rsidRPr="006F035E">
        <w:tab/>
      </w:r>
      <w:r w:rsidRPr="006F035E">
        <w:tab/>
      </w:r>
      <w:r w:rsidRPr="006F035E">
        <w:tab/>
      </w:r>
      <m:oMath>
        <m: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TS corrected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ref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ref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·100%</m:t>
        </m:r>
      </m:oMath>
      <w:r w:rsidRPr="006F035E">
        <w:tab/>
      </w:r>
      <w:r w:rsidRPr="006F035E">
        <w:tab/>
      </w:r>
      <w:r w:rsidRPr="006F035E">
        <w:tab/>
      </w:r>
      <w:r w:rsidRPr="006F035E">
        <w:tab/>
      </w:r>
      <w:r w:rsidRPr="006F035E">
        <w:tab/>
        <w:t>(1)</w:t>
      </w:r>
    </w:p>
    <w:p w14:paraId="1E41963C" w14:textId="0E1615BA" w:rsidR="0085048B" w:rsidRDefault="00122654" w:rsidP="00CE3D5C">
      <w:r>
        <w:t>w</w:t>
      </w:r>
      <w:r w:rsidR="00D962E9" w:rsidRPr="006F035E">
        <w:t>here</w:t>
      </w:r>
      <w:r w:rsidR="0085048B">
        <w:t>:</w:t>
      </w:r>
    </w:p>
    <w:p w14:paraId="4BC606B0" w14:textId="60D9CAAF" w:rsidR="00D962E9" w:rsidRPr="006F035E" w:rsidRDefault="0085048B" w:rsidP="0085048B">
      <w:pPr>
        <w:ind w:firstLine="708"/>
      </w:pPr>
      <m:oMath>
        <m:r>
          <w:rPr>
            <w:rFonts w:ascii="Cambria Math" w:hAnsi="Cambria Math"/>
          </w:rPr>
          <w:lastRenderedPageBreak/>
          <m:t>ε</m:t>
        </m:r>
      </m:oMath>
      <w:r w:rsidR="00D962E9" w:rsidRPr="006F035E">
        <w:t xml:space="preserve"> is the relative error of the transfer standard </w:t>
      </w:r>
      <w:r w:rsidR="00350D71" w:rsidRPr="006F035E">
        <w:t xml:space="preserve">in </w:t>
      </w:r>
      <w:r w:rsidR="00D962E9" w:rsidRPr="006F035E">
        <w:t>%,</w:t>
      </w:r>
    </w:p>
    <w:p w14:paraId="06FB683B" w14:textId="2A3E7D0B" w:rsidR="00D962E9" w:rsidRPr="006F035E" w:rsidRDefault="00000000" w:rsidP="0085048B">
      <w:pPr>
        <w:ind w:firstLine="708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TS corrected</m:t>
            </m:r>
          </m:sub>
        </m:sSub>
      </m:oMath>
      <w:r w:rsidR="00F3299A">
        <w:t xml:space="preserve"> </w:t>
      </w:r>
      <w:r w:rsidR="00D962E9" w:rsidRPr="006F035E">
        <w:t xml:space="preserve">is the </w:t>
      </w:r>
      <w:r w:rsidR="00A6606A" w:rsidRPr="006F035E">
        <w:t>mass</w:t>
      </w:r>
      <w:r w:rsidR="00D962E9" w:rsidRPr="006F035E">
        <w:t xml:space="preserve"> rate indicated by the transfer standard</w:t>
      </w:r>
      <w:r w:rsidR="00837CA4">
        <w:t xml:space="preserve"> including the correction for zero-flow</w:t>
      </w:r>
      <w:r w:rsidR="00D962E9" w:rsidRPr="006F035E">
        <w:t xml:space="preserve"> </w:t>
      </w:r>
      <w:r w:rsidR="00350D71" w:rsidRPr="006F035E">
        <w:t xml:space="preserve">in </w:t>
      </w:r>
      <w:r w:rsidR="00F3299A">
        <w:t>g/</w:t>
      </w:r>
      <w:r w:rsidR="00D962E9" w:rsidRPr="006F035E">
        <w:t>h,</w:t>
      </w:r>
    </w:p>
    <w:p w14:paraId="75DA4E30" w14:textId="6E38C3BB" w:rsidR="00D962E9" w:rsidRPr="006F035E" w:rsidRDefault="00000000" w:rsidP="0085048B">
      <w:pPr>
        <w:ind w:firstLine="708"/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ref</m:t>
            </m:r>
          </m:sub>
        </m:sSub>
      </m:oMath>
      <w:r w:rsidR="00D962E9" w:rsidRPr="006F035E">
        <w:t xml:space="preserve"> is the </w:t>
      </w:r>
      <w:r w:rsidR="00A6606A" w:rsidRPr="006F035E">
        <w:t>mass</w:t>
      </w:r>
      <w:r w:rsidR="00D962E9" w:rsidRPr="006F035E">
        <w:t xml:space="preserve"> rate measured by the reference </w:t>
      </w:r>
      <w:r w:rsidR="00350D71" w:rsidRPr="006F035E">
        <w:t xml:space="preserve">in </w:t>
      </w:r>
      <w:r w:rsidR="00F3299A">
        <w:t>g</w:t>
      </w:r>
      <w:r w:rsidR="00D962E9" w:rsidRPr="006F035E">
        <w:t>/h.</w:t>
      </w:r>
    </w:p>
    <w:p w14:paraId="384A47E2" w14:textId="7BAB86DA" w:rsidR="00145ABE" w:rsidRPr="006F035E" w:rsidRDefault="00D962E9" w:rsidP="00CE3D5C">
      <w:r w:rsidRPr="006F035E">
        <w:t xml:space="preserve">Based on the reported results the following values </w:t>
      </w:r>
      <w:r w:rsidRPr="00CE3D5C">
        <w:t>are</w:t>
      </w:r>
      <w:r w:rsidRPr="006F035E">
        <w:t xml:space="preserve"> computed: the average reference flow rate </w:t>
      </w:r>
      <w:r w:rsidR="00350D71" w:rsidRPr="006F035E">
        <w:t xml:space="preserve">in </w:t>
      </w:r>
      <w:r w:rsidRPr="006F035E">
        <w:t>g/h, the average indicated flow rate</w:t>
      </w:r>
      <w:r w:rsidR="00837CA4">
        <w:t xml:space="preserve"> including the correction for zero-flow</w:t>
      </w:r>
      <w:r w:rsidRPr="006F035E">
        <w:t xml:space="preserve"> </w:t>
      </w:r>
      <w:r w:rsidR="00350D71" w:rsidRPr="006F035E">
        <w:t xml:space="preserve">in </w:t>
      </w:r>
      <w:r w:rsidRPr="006F035E">
        <w:t xml:space="preserve">g/h, the </w:t>
      </w:r>
      <w:r w:rsidR="00A6606A" w:rsidRPr="006F035E">
        <w:t>relative</w:t>
      </w:r>
      <w:r w:rsidRPr="006F035E">
        <w:t xml:space="preserve"> error </w:t>
      </w:r>
      <w:r w:rsidR="00350D71" w:rsidRPr="006F035E">
        <w:t xml:space="preserve">in </w:t>
      </w:r>
      <w:r w:rsidRPr="006F035E">
        <w:t>% and the uncertainty of the calibration (</w:t>
      </w:r>
      <w:r w:rsidRPr="006F035E">
        <w:rPr>
          <w:i/>
        </w:rPr>
        <w:t>k</w:t>
      </w:r>
      <w:r w:rsidRPr="006F035E">
        <w:t>=2) (%).</w:t>
      </w:r>
    </w:p>
    <w:p w14:paraId="72E6537F" w14:textId="2A510D31" w:rsidR="001F6A13" w:rsidRPr="006F035E" w:rsidRDefault="00145ABE" w:rsidP="00CE3D5C">
      <w:pPr>
        <w:pStyle w:val="Nadpis1"/>
      </w:pPr>
      <w:bookmarkStart w:id="21" w:name="_Toc193212502"/>
      <w:r w:rsidRPr="00CE3D5C">
        <w:t>M</w:t>
      </w:r>
      <w:r w:rsidR="001F6A13" w:rsidRPr="00CE3D5C">
        <w:t>easurement</w:t>
      </w:r>
      <w:r w:rsidR="001F6A13" w:rsidRPr="006F035E">
        <w:t xml:space="preserve"> results</w:t>
      </w:r>
      <w:bookmarkEnd w:id="21"/>
    </w:p>
    <w:p w14:paraId="091E2B4C" w14:textId="47838C75" w:rsidR="009B45E3" w:rsidRDefault="009B45E3" w:rsidP="00CE3D5C">
      <w:r w:rsidRPr="006F035E">
        <w:t>The reference value will be determined for all individual flow points</w:t>
      </w:r>
      <w:r w:rsidR="002C7E31" w:rsidRPr="006F035E">
        <w:t xml:space="preserve"> and </w:t>
      </w:r>
      <w:r w:rsidRPr="006F035E">
        <w:t xml:space="preserve">will be determined on the weighted average from all individual labs. All results will be compared against this reference value. The chi-squared test will be used to </w:t>
      </w:r>
      <w:r w:rsidR="00C0692F" w:rsidRPr="006F035E">
        <w:t>identify</w:t>
      </w:r>
      <w:r w:rsidRPr="006F035E">
        <w:t xml:space="preserve"> outliers.</w:t>
      </w:r>
      <w:r w:rsidR="009156EB" w:rsidRPr="006F035E">
        <w:t xml:space="preserve"> </w:t>
      </w:r>
      <w:r w:rsidR="00C0692F" w:rsidRPr="006F035E">
        <w:t>The pro</w:t>
      </w:r>
      <w:r w:rsidR="009156EB" w:rsidRPr="006F035E">
        <w:t xml:space="preserve">cedure </w:t>
      </w:r>
      <w:r w:rsidR="00C0692F" w:rsidRPr="006F035E">
        <w:t>according to</w:t>
      </w:r>
      <w:r w:rsidR="004A1072" w:rsidRPr="006F035E">
        <w:t xml:space="preserve"> </w:t>
      </w:r>
      <w:r w:rsidR="00A63B4D" w:rsidRPr="006F035E">
        <w:t>[1]</w:t>
      </w:r>
      <w:r w:rsidR="00C0692F" w:rsidRPr="006F035E">
        <w:t xml:space="preserve"> will be used</w:t>
      </w:r>
      <w:r w:rsidR="009156EB" w:rsidRPr="006F035E">
        <w:t>.</w:t>
      </w:r>
    </w:p>
    <w:p w14:paraId="11691693" w14:textId="3630917C" w:rsidR="00145ABE" w:rsidRPr="006F035E" w:rsidRDefault="00BE5647" w:rsidP="00CE3D5C">
      <w:r w:rsidRPr="00BE5647">
        <w:t xml:space="preserve">Summarized uncertainty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TS</m:t>
            </m:r>
          </m:sub>
        </m:sSub>
      </m:oMath>
      <w:r w:rsidRPr="00BE5647">
        <w:t xml:space="preserve"> of transfer standards including </w:t>
      </w:r>
      <w:r w:rsidR="00122654">
        <w:t>l</w:t>
      </w:r>
      <w:r w:rsidRPr="00BE5647">
        <w:t xml:space="preserve">ong-term stability of </w:t>
      </w:r>
      <w:r w:rsidR="00122654">
        <w:t xml:space="preserve">the </w:t>
      </w:r>
      <w:r w:rsidRPr="00BE5647">
        <w:t>transfer standard</w:t>
      </w:r>
      <w:r w:rsidR="00122654">
        <w:t>s</w:t>
      </w:r>
      <w:r w:rsidRPr="00BE5647">
        <w:t xml:space="preserve"> - meter drift</w:t>
      </w:r>
      <w:r w:rsidR="00592365">
        <w:t xml:space="preserve">, </w:t>
      </w:r>
      <w:r>
        <w:t>pressure sensitivity, temperature sensitivity will be provided by pilots/copilots.</w:t>
      </w:r>
    </w:p>
    <w:p w14:paraId="7D65D6C4" w14:textId="2B90BA7C" w:rsidR="00CB041B" w:rsidRPr="00CB041B" w:rsidRDefault="00145ABE" w:rsidP="00CE3D5C">
      <w:pPr>
        <w:pStyle w:val="Nadpis1"/>
      </w:pPr>
      <w:bookmarkStart w:id="22" w:name="_Toc193212503"/>
      <w:r w:rsidRPr="006F035E">
        <w:t>Evaluation</w:t>
      </w:r>
      <w:bookmarkEnd w:id="22"/>
    </w:p>
    <w:p w14:paraId="3DD2C14B" w14:textId="08385FCC" w:rsidR="000E5EA3" w:rsidRPr="00CB041B" w:rsidRDefault="00145ABE" w:rsidP="00CE3D5C">
      <w:pPr>
        <w:pStyle w:val="Nadpis2"/>
        <w:rPr>
          <w:color w:val="FF0000"/>
        </w:rPr>
      </w:pPr>
      <w:bookmarkStart w:id="23" w:name="_Toc193212504"/>
      <w:r w:rsidRPr="00CB041B">
        <w:t>Uncertainty u(</w:t>
      </w:r>
      <w:r w:rsidR="009C7663" w:rsidRPr="00CB041B">
        <w:t>ε</w:t>
      </w:r>
      <w:r w:rsidR="009C7663" w:rsidRPr="00CB041B">
        <w:rPr>
          <w:vertAlign w:val="subscript"/>
        </w:rPr>
        <w:t>lab, i</w:t>
      </w:r>
      <w:r w:rsidRPr="00CB041B">
        <w:t xml:space="preserve">) of laboratory reported value </w:t>
      </w:r>
      <w:r w:rsidR="009C7663" w:rsidRPr="00CB041B">
        <w:rPr>
          <w:i/>
          <w:iCs/>
        </w:rPr>
        <w:t>ε</w:t>
      </w:r>
      <w:r w:rsidR="009C7663" w:rsidRPr="00CB041B">
        <w:rPr>
          <w:i/>
          <w:iCs/>
          <w:vertAlign w:val="subscript"/>
        </w:rPr>
        <w:t>lab, i</w:t>
      </w:r>
      <w:bookmarkEnd w:id="23"/>
    </w:p>
    <w:p w14:paraId="379C4046" w14:textId="4A232475" w:rsidR="00145ABE" w:rsidRPr="006F035E" w:rsidRDefault="00145ABE" w:rsidP="00CE3D5C">
      <w:r w:rsidRPr="006F035E">
        <w:t xml:space="preserve">As described in [1], [2] and [3], the uncertainty of the reported value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lab</m:t>
            </m:r>
            <m:r>
              <w:rPr>
                <w:rFonts w:ascii="Cambria Math" w:hAnsi="Cambria Math"/>
                <w:vertAlign w:val="subscript"/>
              </w:rPr>
              <m:t>, i</m:t>
            </m:r>
          </m:sub>
        </m:sSub>
      </m:oMath>
      <w:r w:rsidR="0085048B">
        <w:t xml:space="preserve"> </w:t>
      </w:r>
      <w:r w:rsidR="0085048B" w:rsidRPr="006F035E">
        <w:t xml:space="preserve">includes uncertainties </w:t>
      </w:r>
      <w:r w:rsidRPr="006F035E">
        <w:t>introduced by the participant</w:t>
      </w:r>
      <w:r w:rsidR="0085048B">
        <w:t>’</w:t>
      </w:r>
      <w:r w:rsidRPr="006F035E">
        <w:t xml:space="preserve">s flow reference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lab</m:t>
            </m:r>
            <m:r>
              <w:rPr>
                <w:rFonts w:ascii="Cambria Math" w:hAnsi="Cambria Math"/>
                <w:vertAlign w:val="subscript"/>
              </w:rPr>
              <m:t>, i</m:t>
            </m:r>
          </m:sub>
        </m:sSub>
      </m:oMath>
      <w:r w:rsidR="00FA39CF">
        <w:rPr>
          <w:iCs/>
        </w:rPr>
        <w:t xml:space="preserve"> </w:t>
      </w:r>
      <w:r w:rsidR="00FA39CF" w:rsidRPr="006F035E">
        <w:t xml:space="preserve">by </w:t>
      </w:r>
      <w:r w:rsidR="00122654">
        <w:t xml:space="preserve">the </w:t>
      </w:r>
      <w:r w:rsidR="00FA39CF" w:rsidRPr="006F035E">
        <w:t>transfer meter</w:t>
      </w:r>
      <w:r w:rsidR="00FA39CF"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vertAlign w:val="subscript"/>
              </w:rPr>
              <m:t>TS</m:t>
            </m:r>
          </m:sub>
        </m:sSub>
      </m:oMath>
      <w:r w:rsidR="00FA39CF">
        <w:rPr>
          <w:iCs/>
        </w:rPr>
        <w:t xml:space="preserve"> </w:t>
      </w:r>
      <w:r w:rsidR="00FA39CF" w:rsidRPr="006F035E">
        <w:t xml:space="preserve">and by </w:t>
      </w:r>
      <w:r w:rsidR="00122654">
        <w:t xml:space="preserve">the </w:t>
      </w:r>
      <w:r w:rsidR="00FA39CF" w:rsidRPr="006F035E">
        <w:t xml:space="preserve">repeatability of the </w:t>
      </w:r>
      <w:r w:rsidRPr="006F035E">
        <w:t>reported value (Equation</w:t>
      </w:r>
      <w:r w:rsidR="00CB041B">
        <w:t xml:space="preserve"> </w:t>
      </w:r>
      <w:r w:rsidRPr="006F035E">
        <w:t>(8)</w:t>
      </w:r>
      <w:r w:rsidR="00CB041B">
        <w:t>)</w:t>
      </w:r>
      <w:r w:rsidRPr="006F035E">
        <w:t xml:space="preserve">. The used input parameters of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lab</m:t>
            </m:r>
            <m:r>
              <w:rPr>
                <w:rFonts w:ascii="Cambria Math" w:hAnsi="Cambria Math"/>
                <w:vertAlign w:val="subscript"/>
              </w:rPr>
              <m:t>, i</m:t>
            </m:r>
          </m:sub>
        </m:sSub>
      </m:oMath>
      <w:r w:rsidR="00FA39CF">
        <w:rPr>
          <w:iCs/>
        </w:rPr>
        <w:t xml:space="preserve"> </w:t>
      </w:r>
      <w:r w:rsidRPr="006F035E">
        <w:t xml:space="preserve">do represent the claimed uncertainty values of the laboratories, which were under evaluation during this comparison. As values for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lab</m:t>
            </m:r>
            <m:r>
              <w:rPr>
                <w:rFonts w:ascii="Cambria Math" w:hAnsi="Cambria Math"/>
                <w:vertAlign w:val="subscript"/>
              </w:rPr>
              <m:t>, i</m:t>
            </m:r>
          </m:sub>
        </m:sSub>
      </m:oMath>
      <w:r w:rsidRPr="006F035E">
        <w:rPr>
          <w:i/>
          <w:iCs/>
        </w:rPr>
        <w:t xml:space="preserve"> </w:t>
      </w:r>
      <w:r w:rsidRPr="006F035E">
        <w:t xml:space="preserve">the expanded laboratory uncertainty of Table 12 to Table 24, marked with a), were </w:t>
      </w:r>
      <w:r w:rsidR="00122654">
        <w:t xml:space="preserve">are </w:t>
      </w:r>
      <w:r w:rsidRPr="006F035E">
        <w:t xml:space="preserve">used. Uncertainty calculations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TS</m:t>
            </m:r>
          </m:sub>
        </m:sSub>
      </m:oMath>
      <w:r w:rsidRPr="006F035E">
        <w:t xml:space="preserve"> are based on the discussions in Chapter 5.1, final values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TS</m:t>
            </m:r>
          </m:sub>
        </m:sSub>
      </m:oMath>
      <w:r w:rsidRPr="006F035E">
        <w:t xml:space="preserve"> are summarized in Table 11. The term </w:t>
      </w:r>
      <w:r w:rsidRPr="006F035E">
        <w:rPr>
          <w:i/>
          <w:iCs/>
        </w:rPr>
        <w:t>s</w:t>
      </w:r>
      <w:r w:rsidRPr="006F035E">
        <w:t>/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n</m:t>
            </m:r>
          </m:e>
        </m:rad>
      </m:oMath>
      <w:r w:rsidRPr="006F035E">
        <w:t xml:space="preserve"> represents the repeatability of measurements in the participants laboratory and are based on reported calibration results.</w:t>
      </w:r>
    </w:p>
    <w:tbl>
      <w:tblPr>
        <w:tblStyle w:val="Mkatabulky"/>
        <w:tblpPr w:leftFromText="141" w:rightFromText="141" w:vertAnchor="text" w:horzAnchor="page" w:tblpX="2341" w:tblpY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410"/>
      </w:tblGrid>
      <w:tr w:rsidR="007B68D3" w:rsidRPr="007B68D3" w14:paraId="33EAD3F3" w14:textId="77777777" w:rsidTr="0092040C">
        <w:tc>
          <w:tcPr>
            <w:tcW w:w="5954" w:type="dxa"/>
            <w:vAlign w:val="center"/>
          </w:tcPr>
          <w:p w14:paraId="6DD1466B" w14:textId="32D56B62" w:rsidR="007B68D3" w:rsidRPr="007B68D3" w:rsidRDefault="007B68D3" w:rsidP="00CE3D5C">
            <w:pPr>
              <w:rPr>
                <w:rFonts w:ascii="Times New Roman" w:hAnsi="Times New Roman"/>
                <w:color w:val="FF0000"/>
                <w:sz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u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ε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lab,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Cs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Cs/>
                            <w:iCs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lab,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Cs/>
                            <w:iCs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comp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Cs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Cs/>
                            <w:iCs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lab,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bCs/>
                            <w:iCs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TS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num>
                              <m:den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</m:rad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410" w:type="dxa"/>
            <w:vAlign w:val="center"/>
          </w:tcPr>
          <w:p w14:paraId="10875C41" w14:textId="77777777" w:rsidR="007B68D3" w:rsidRPr="007B68D3" w:rsidRDefault="007B68D3" w:rsidP="00CE3D5C">
            <w:pPr>
              <w:rPr>
                <w:color w:val="FF0000"/>
                <w:lang w:eastAsia="de-DE"/>
              </w:rPr>
            </w:pPr>
            <w:bookmarkStart w:id="24" w:name="_Ref134532000"/>
            <w:r w:rsidRPr="007B68D3">
              <w:rPr>
                <w:lang w:eastAsia="de-DE"/>
              </w:rPr>
              <w:t>(</w:t>
            </w:r>
            <w:r w:rsidRPr="007B68D3">
              <w:rPr>
                <w:lang w:eastAsia="de-DE"/>
              </w:rPr>
              <w:fldChar w:fldCharType="begin"/>
            </w:r>
            <w:r w:rsidRPr="007B68D3">
              <w:rPr>
                <w:lang w:eastAsia="de-DE"/>
              </w:rPr>
              <w:instrText xml:space="preserve"> SEQ Equation \* ARABIC </w:instrText>
            </w:r>
            <w:r w:rsidRPr="007B68D3">
              <w:rPr>
                <w:lang w:eastAsia="de-DE"/>
              </w:rPr>
              <w:fldChar w:fldCharType="separate"/>
            </w:r>
            <w:r w:rsidRPr="007B68D3">
              <w:rPr>
                <w:lang w:eastAsia="de-DE"/>
              </w:rPr>
              <w:t>8</w:t>
            </w:r>
            <w:r w:rsidRPr="007B68D3">
              <w:rPr>
                <w:lang w:eastAsia="de-DE"/>
              </w:rPr>
              <w:fldChar w:fldCharType="end"/>
            </w:r>
            <w:bookmarkEnd w:id="24"/>
            <w:r w:rsidRPr="007B68D3">
              <w:rPr>
                <w:lang w:eastAsia="de-DE"/>
              </w:rPr>
              <w:t>)</w:t>
            </w:r>
          </w:p>
        </w:tc>
      </w:tr>
    </w:tbl>
    <w:p w14:paraId="077F70C0" w14:textId="77777777" w:rsidR="007B68D3" w:rsidRPr="006F035E" w:rsidRDefault="007B68D3" w:rsidP="00CE3D5C"/>
    <w:p w14:paraId="01BDAE0C" w14:textId="77777777" w:rsidR="007B68D3" w:rsidRPr="006F035E" w:rsidRDefault="007B68D3" w:rsidP="00CE3D5C"/>
    <w:p w14:paraId="1DDA2AA8" w14:textId="79A74D7A" w:rsidR="00FA39CF" w:rsidRDefault="00122654" w:rsidP="00CE3D5C">
      <w:r>
        <w:t>w</w:t>
      </w:r>
      <w:r w:rsidR="00FA39CF" w:rsidRPr="006F035E">
        <w:t>her</w:t>
      </w:r>
      <w:r w:rsidR="00FA39CF">
        <w:t>e:</w:t>
      </w:r>
    </w:p>
    <w:p w14:paraId="59D1F87F" w14:textId="04E221E9" w:rsidR="00FA39CF" w:rsidRDefault="00FA39CF" w:rsidP="00FA39CF">
      <w:pPr>
        <w:tabs>
          <w:tab w:val="left" w:pos="1701"/>
        </w:tabs>
        <w:ind w:firstLine="708"/>
      </w:pP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bCs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lab,</m:t>
                </m:r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</m:oMath>
      <w:r>
        <w:tab/>
      </w:r>
      <w:r w:rsidR="00145ABE" w:rsidRPr="006F035E">
        <w:t xml:space="preserve">Uncertainty of reported meter error of laboratory </w:t>
      </w:r>
      <w:r w:rsidR="00145ABE" w:rsidRPr="006F035E">
        <w:rPr>
          <w:i/>
          <w:iCs/>
        </w:rPr>
        <w:t>i</w:t>
      </w:r>
      <w:r w:rsidR="00145ABE" w:rsidRPr="006F035E">
        <w:t xml:space="preserve"> (%)</w:t>
      </w:r>
    </w:p>
    <w:p w14:paraId="46270D48" w14:textId="1268C5C7" w:rsidR="00FA39CF" w:rsidRPr="006F035E" w:rsidRDefault="00000000" w:rsidP="00FA39CF">
      <w:pPr>
        <w:tabs>
          <w:tab w:val="left" w:pos="1701"/>
        </w:tabs>
        <w:ind w:firstLine="708"/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lab</m:t>
            </m:r>
            <m:r>
              <w:rPr>
                <w:rFonts w:ascii="Cambria Math" w:hAnsi="Cambria Math"/>
                <w:vertAlign w:val="subscript"/>
              </w:rPr>
              <m:t>, i</m:t>
            </m:r>
          </m:sub>
        </m:sSub>
      </m:oMath>
      <w:r w:rsidR="00145ABE" w:rsidRPr="006F035E">
        <w:tab/>
        <w:t>Uncertainty of laboratory refe</w:t>
      </w:r>
      <w:r w:rsidR="00122654">
        <w:t>re</w:t>
      </w:r>
      <w:r w:rsidR="00145ABE" w:rsidRPr="006F035E">
        <w:t>nce (%)</w:t>
      </w:r>
    </w:p>
    <w:p w14:paraId="2CD57260" w14:textId="769EEF20" w:rsidR="00145ABE" w:rsidRPr="006F035E" w:rsidRDefault="00000000" w:rsidP="00FA39CF">
      <w:pPr>
        <w:tabs>
          <w:tab w:val="left" w:pos="1701"/>
        </w:tabs>
        <w:ind w:firstLine="708"/>
      </w:pP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comp</m:t>
            </m:r>
          </m:sub>
        </m:sSub>
      </m:oMath>
      <w:r w:rsidR="00145ABE" w:rsidRPr="006F035E">
        <w:tab/>
        <w:t>Uncertainty of transfer meter measurements (%)</w:t>
      </w:r>
    </w:p>
    <w:p w14:paraId="027D63D4" w14:textId="77777777" w:rsidR="00FA39CF" w:rsidRDefault="00FA39CF" w:rsidP="00FA39CF">
      <w:pPr>
        <w:tabs>
          <w:tab w:val="left" w:pos="1701"/>
        </w:tabs>
        <w:ind w:firstLine="708"/>
      </w:pPr>
      <m:oMath>
        <m:r>
          <w:rPr>
            <w:rFonts w:ascii="Cambria Math" w:hAnsi="Cambria Math"/>
          </w:rPr>
          <m:t>s</m:t>
        </m:r>
      </m:oMath>
      <w:r>
        <w:tab/>
      </w:r>
      <w:r w:rsidR="00145ABE" w:rsidRPr="006F035E">
        <w:t>Standard deviation of the mean of measurements at one flowrate point (%)</w:t>
      </w:r>
    </w:p>
    <w:p w14:paraId="527C9145" w14:textId="4BC93EDC" w:rsidR="00145ABE" w:rsidRPr="006F035E" w:rsidRDefault="00FA39CF" w:rsidP="00FA39CF">
      <w:pPr>
        <w:tabs>
          <w:tab w:val="left" w:pos="1701"/>
        </w:tabs>
        <w:ind w:firstLine="708"/>
      </w:pPr>
      <m:oMath>
        <m:r>
          <w:rPr>
            <w:rFonts w:ascii="Cambria Math" w:hAnsi="Cambria Math"/>
          </w:rPr>
          <m:t>n</m:t>
        </m:r>
      </m:oMath>
      <w:r w:rsidR="00145ABE" w:rsidRPr="006F035E">
        <w:tab/>
        <w:t>Number of calibrations at one flowrate point (-)</w:t>
      </w:r>
    </w:p>
    <w:p w14:paraId="576118E3" w14:textId="06545F7F" w:rsidR="00145ABE" w:rsidRPr="006F035E" w:rsidRDefault="00145ABE" w:rsidP="00CE3D5C">
      <w:r w:rsidRPr="006F035E">
        <w:lastRenderedPageBreak/>
        <w:t xml:space="preserve">All values of </w:t>
      </w:r>
      <m:oMath>
        <m:r>
          <w:rPr>
            <w:rFonts w:ascii="Cambria Math" w:hAnsi="Cambria Math"/>
          </w:rPr>
          <m:t>u</m:t>
        </m:r>
      </m:oMath>
      <w:r w:rsidRPr="006F035E">
        <w:t xml:space="preserve"> are valid for </w:t>
      </w:r>
      <w:r w:rsidRPr="006F035E">
        <w:rPr>
          <w:i/>
          <w:iCs/>
        </w:rPr>
        <w:t xml:space="preserve">k </w:t>
      </w:r>
      <w:r w:rsidRPr="006F035E">
        <w:t>= 1.</w:t>
      </w:r>
    </w:p>
    <w:p w14:paraId="54261824" w14:textId="13C1A940" w:rsidR="00145ABE" w:rsidRPr="006F035E" w:rsidRDefault="00EC12D6" w:rsidP="00CE3D5C">
      <w:pPr>
        <w:pStyle w:val="Nadpis2"/>
      </w:pPr>
      <w:bookmarkStart w:id="25" w:name="_Toc193212505"/>
      <w:r w:rsidRPr="006F035E">
        <w:t>Determination of Comparison Reference Value (CRV) and its uncertainty</w:t>
      </w:r>
      <w:bookmarkEnd w:id="25"/>
    </w:p>
    <w:p w14:paraId="4AC9548F" w14:textId="3F31A1F8" w:rsidR="00EC12D6" w:rsidRPr="006F035E" w:rsidRDefault="00EC12D6" w:rsidP="00CE3D5C">
      <w:r w:rsidRPr="006F035E">
        <w:t xml:space="preserve">The </w:t>
      </w:r>
      <w:bookmarkStart w:id="26" w:name="_Hlk32224264"/>
      <w:r w:rsidRPr="006F035E">
        <w:t xml:space="preserve">Key Comparison reference value </w:t>
      </w:r>
      <w:bookmarkEnd w:id="26"/>
      <w:r w:rsidR="00122654">
        <w:t>is</w:t>
      </w:r>
      <w:r w:rsidRPr="006F035E">
        <w:t xml:space="preserve"> calculated separately for each flowrate, following the procedure A of [4]. The determination of </w:t>
      </w:r>
      <w:r w:rsidRPr="006F035E">
        <w:rPr>
          <w:i/>
          <w:iCs/>
        </w:rPr>
        <w:t>CRV</w:t>
      </w:r>
      <w:r w:rsidRPr="006F035E">
        <w:t xml:space="preserve"> </w:t>
      </w:r>
      <w:r w:rsidR="001B0CEC" w:rsidRPr="006F035E">
        <w:t>includes</w:t>
      </w:r>
      <w:r w:rsidRPr="006F035E">
        <w:t xml:space="preserve"> a consistency check according to [5]. The refe</w:t>
      </w:r>
      <w:r w:rsidR="00122654">
        <w:t>re</w:t>
      </w:r>
      <w:r w:rsidRPr="006F035E">
        <w:t xml:space="preserve">nce value y </w:t>
      </w:r>
      <w:r w:rsidR="00122654">
        <w:t>is</w:t>
      </w:r>
      <w:r w:rsidRPr="006F035E">
        <w:t xml:space="preserve"> calculated as weighted mean error of the participating laboratories, including standard uncertainties </w:t>
      </w:r>
      <w:r w:rsidR="00CB041B" w:rsidRPr="00CB041B">
        <w:rPr>
          <w:i/>
          <w:iCs/>
          <w:sz w:val="18"/>
          <w:szCs w:val="18"/>
        </w:rPr>
        <w:t>u(</w:t>
      </w:r>
      <w:r w:rsidR="00CB041B" w:rsidRPr="00CB041B">
        <w:rPr>
          <w:rFonts w:ascii="Symbol" w:hAnsi="Symbol"/>
          <w:i/>
          <w:iCs/>
          <w:sz w:val="18"/>
          <w:szCs w:val="18"/>
        </w:rPr>
        <w:t>e</w:t>
      </w:r>
      <w:r w:rsidR="00CB041B" w:rsidRPr="00CB041B">
        <w:rPr>
          <w:sz w:val="18"/>
          <w:szCs w:val="18"/>
          <w:vertAlign w:val="subscript"/>
        </w:rPr>
        <w:t xml:space="preserve"> lab,</w:t>
      </w:r>
      <w:r w:rsidR="00CB041B" w:rsidRPr="00CB041B">
        <w:rPr>
          <w:i/>
          <w:iCs/>
          <w:sz w:val="18"/>
          <w:szCs w:val="18"/>
          <w:vertAlign w:val="subscript"/>
        </w:rPr>
        <w:t>i</w:t>
      </w:r>
      <w:r w:rsidR="00CB041B" w:rsidRPr="00CB041B">
        <w:rPr>
          <w:sz w:val="18"/>
          <w:szCs w:val="18"/>
        </w:rPr>
        <w:t>)</w:t>
      </w:r>
      <w:r w:rsidR="00CB041B" w:rsidRPr="006828FA">
        <w:rPr>
          <w:color w:val="FF0000"/>
          <w:sz w:val="18"/>
          <w:szCs w:val="18"/>
        </w:rPr>
        <w:t xml:space="preserve"> </w:t>
      </w:r>
      <w:r w:rsidRPr="006F035E">
        <w:t>of the measurements as the weights:</w:t>
      </w:r>
    </w:p>
    <w:tbl>
      <w:tblPr>
        <w:tblStyle w:val="Mkatabulky"/>
        <w:tblpPr w:leftFromText="141" w:rightFromText="141" w:vertAnchor="text" w:horzAnchor="page" w:tblpX="2341" w:tblpY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409"/>
      </w:tblGrid>
      <w:tr w:rsidR="007B68D3" w:rsidRPr="007B68D3" w14:paraId="772BB02E" w14:textId="77777777" w:rsidTr="00B17657">
        <w:tc>
          <w:tcPr>
            <w:tcW w:w="5954" w:type="dxa"/>
            <w:vAlign w:val="center"/>
          </w:tcPr>
          <w:p w14:paraId="4888DFA7" w14:textId="79E21138" w:rsidR="007B68D3" w:rsidRPr="007B68D3" w:rsidRDefault="007B68D3" w:rsidP="00CE3D5C">
            <w:pPr>
              <w:rPr>
                <w:color w:val="FF000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ε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lab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ε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lab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1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ε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lab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ε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lab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2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 + …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ε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lab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</m:sSub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ε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lab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 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ε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lab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1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ε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lab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2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 + …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Cs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ε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lab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 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bSup>
                          </m:den>
                        </m:f>
                      </m:e>
                    </m:d>
                  </m:den>
                </m:f>
              </m:oMath>
            </m:oMathPara>
          </w:p>
        </w:tc>
        <w:tc>
          <w:tcPr>
            <w:tcW w:w="2409" w:type="dxa"/>
            <w:vAlign w:val="center"/>
          </w:tcPr>
          <w:p w14:paraId="45F8DC64" w14:textId="79E5C6AD" w:rsidR="007B68D3" w:rsidRPr="007B68D3" w:rsidRDefault="00B17657" w:rsidP="00CE3D5C">
            <w:pPr>
              <w:rPr>
                <w:color w:val="FF0000"/>
              </w:rPr>
            </w:pPr>
            <w:r w:rsidRPr="006F035E">
              <w:t xml:space="preserve">       </w:t>
            </w:r>
            <w:r w:rsidR="007B68D3" w:rsidRPr="007B68D3">
              <w:t>(</w:t>
            </w:r>
            <w:r w:rsidR="007B68D3" w:rsidRPr="007B68D3">
              <w:fldChar w:fldCharType="begin"/>
            </w:r>
            <w:r w:rsidR="007B68D3" w:rsidRPr="007B68D3">
              <w:instrText xml:space="preserve"> SEQ Equation \* ARABIC </w:instrText>
            </w:r>
            <w:r w:rsidR="007B68D3" w:rsidRPr="007B68D3">
              <w:fldChar w:fldCharType="separate"/>
            </w:r>
            <w:r w:rsidR="007B68D3" w:rsidRPr="007B68D3">
              <w:t>9</w:t>
            </w:r>
            <w:r w:rsidR="007B68D3" w:rsidRPr="007B68D3">
              <w:fldChar w:fldCharType="end"/>
            </w:r>
            <w:r w:rsidR="007B68D3" w:rsidRPr="007B68D3">
              <w:t>)</w:t>
            </w:r>
          </w:p>
        </w:tc>
      </w:tr>
    </w:tbl>
    <w:p w14:paraId="6A8D37CE" w14:textId="77777777" w:rsidR="00EC12D6" w:rsidRPr="006F035E" w:rsidRDefault="00EC12D6" w:rsidP="00CE3D5C"/>
    <w:p w14:paraId="6041CA04" w14:textId="77777777" w:rsidR="00EC12D6" w:rsidRPr="006F035E" w:rsidRDefault="00EC12D6" w:rsidP="00CE3D5C"/>
    <w:p w14:paraId="41AFB04A" w14:textId="77777777" w:rsidR="00D61279" w:rsidRPr="006F035E" w:rsidRDefault="00D61279" w:rsidP="00CE3D5C"/>
    <w:p w14:paraId="3B664AC2" w14:textId="36CD537F" w:rsidR="00EC12D6" w:rsidRPr="006F035E" w:rsidRDefault="00D61279" w:rsidP="00CE3D5C">
      <w:r w:rsidRPr="006F035E">
        <w:t xml:space="preserve">where </w:t>
      </w:r>
      <m:oMath>
        <m:r>
          <w:rPr>
            <w:rFonts w:ascii="Cambria Math" w:hAnsi="Cambria Math"/>
          </w:rPr>
          <m:t>y</m:t>
        </m:r>
      </m:oMath>
      <w:r w:rsidRPr="006F035E">
        <w:t xml:space="preserve"> </w:t>
      </w:r>
      <w:r w:rsidR="00547AE5">
        <w:t>is the r</w:t>
      </w:r>
      <w:r w:rsidRPr="006F035E">
        <w:t>eference value of the comparison (%)</w:t>
      </w:r>
      <w:r w:rsidR="00547AE5">
        <w:t>.</w:t>
      </w:r>
    </w:p>
    <w:p w14:paraId="63EB7A3C" w14:textId="6E02F60A" w:rsidR="00D61279" w:rsidRPr="006F035E" w:rsidRDefault="00D61279" w:rsidP="00D61279">
      <w:pPr>
        <w:pStyle w:val="Bezmezer"/>
        <w:spacing w:before="120"/>
        <w:rPr>
          <w:lang w:val="en-US"/>
        </w:rPr>
      </w:pPr>
      <w:r w:rsidRPr="006F035E">
        <w:rPr>
          <w:lang w:val="en-US"/>
        </w:rPr>
        <w:t xml:space="preserve">The standard uncertainty </w:t>
      </w:r>
      <m:oMath>
        <m:sSub>
          <m:sSubPr>
            <m:ctrlPr>
              <w:rPr>
                <w:rFonts w:ascii="Cambria Math" w:hAnsi="Cambria Math"/>
                <w:i/>
                <w:iCs/>
                <w:vertAlign w:val="subscript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u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vertAlign w:val="subscript"/>
                <w:lang w:val="en-US"/>
              </w:rPr>
              <m:t>y</m:t>
            </m:r>
          </m:sub>
        </m:sSub>
      </m:oMath>
      <w:r w:rsidRPr="006F035E">
        <w:rPr>
          <w:lang w:val="en-US"/>
        </w:rPr>
        <w:t xml:space="preserve"> is given with:</w:t>
      </w:r>
    </w:p>
    <w:tbl>
      <w:tblPr>
        <w:tblStyle w:val="Mkatabulky"/>
        <w:tblpPr w:leftFromText="141" w:rightFromText="141" w:vertAnchor="text" w:horzAnchor="page" w:tblpX="2341" w:tblpY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268"/>
      </w:tblGrid>
      <w:tr w:rsidR="00D61279" w:rsidRPr="00D61279" w14:paraId="302024D3" w14:textId="77777777" w:rsidTr="0092040C">
        <w:tc>
          <w:tcPr>
            <w:tcW w:w="6096" w:type="dxa"/>
            <w:vAlign w:val="center"/>
          </w:tcPr>
          <w:p w14:paraId="692732F6" w14:textId="77777777" w:rsidR="00D61279" w:rsidRPr="00D61279" w:rsidRDefault="00000000" w:rsidP="00CE3D5C">
            <w:pPr>
              <w:rPr>
                <w:rFonts w:asciiTheme="minorHAnsi" w:hAnsiTheme="minorHAnsi"/>
                <w:color w:val="FF0000"/>
                <w:sz w:val="24"/>
                <w:lang w:eastAsia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1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Cs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y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1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Cs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ε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lang w:eastAsia="en-US"/>
                          </w:rPr>
                          <m:t>lab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en-US"/>
                          </w:rPr>
                          <m:t xml:space="preserve"> 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en-US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1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Cs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ε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lang w:eastAsia="en-US"/>
                          </w:rPr>
                          <m:t>lab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en-US"/>
                          </w:rPr>
                          <m:t xml:space="preserve"> 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en-US"/>
                  </w:rPr>
                  <m:t xml:space="preserve">+ … + </m:t>
                </m:r>
                <m:f>
                  <m:f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1</m:t>
                    </m:r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Cs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ε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en-US"/>
                          </w:rPr>
                          <m:t>,</m:t>
                        </m:r>
                        <m:r>
                          <w:rPr>
                            <w:rFonts w:ascii="Cambria Math" w:hAnsi="Cambria Math"/>
                            <w:lang w:eastAsia="en-US"/>
                          </w:rPr>
                          <m:t>lab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en-US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lang w:eastAsia="en-US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</w:tc>
        <w:tc>
          <w:tcPr>
            <w:tcW w:w="2268" w:type="dxa"/>
            <w:vAlign w:val="center"/>
          </w:tcPr>
          <w:p w14:paraId="1FDB0373" w14:textId="77777777" w:rsidR="00D61279" w:rsidRPr="00D61279" w:rsidRDefault="00D61279" w:rsidP="00CE3D5C">
            <w:pPr>
              <w:rPr>
                <w:color w:val="FF0000"/>
                <w:lang w:eastAsia="en-US"/>
              </w:rPr>
            </w:pPr>
            <w:bookmarkStart w:id="27" w:name="_Hlk134532099"/>
            <w:r w:rsidRPr="00D61279">
              <w:rPr>
                <w:lang w:eastAsia="en-US"/>
              </w:rPr>
              <w:t>(</w:t>
            </w:r>
            <w:r w:rsidRPr="00D61279">
              <w:rPr>
                <w:lang w:eastAsia="en-US"/>
              </w:rPr>
              <w:fldChar w:fldCharType="begin"/>
            </w:r>
            <w:r w:rsidRPr="00D61279">
              <w:rPr>
                <w:lang w:eastAsia="en-US"/>
              </w:rPr>
              <w:instrText xml:space="preserve"> SEQ Equation \* ARABIC </w:instrText>
            </w:r>
            <w:r w:rsidRPr="00D61279">
              <w:rPr>
                <w:lang w:eastAsia="en-US"/>
              </w:rPr>
              <w:fldChar w:fldCharType="separate"/>
            </w:r>
            <w:r w:rsidRPr="00D61279">
              <w:rPr>
                <w:lang w:eastAsia="en-US"/>
              </w:rPr>
              <w:t>10</w:t>
            </w:r>
            <w:r w:rsidRPr="00D61279">
              <w:rPr>
                <w:lang w:eastAsia="en-US"/>
              </w:rPr>
              <w:fldChar w:fldCharType="end"/>
            </w:r>
            <w:r w:rsidRPr="00D61279">
              <w:rPr>
                <w:lang w:eastAsia="en-US"/>
              </w:rPr>
              <w:t>)</w:t>
            </w:r>
            <w:bookmarkEnd w:id="27"/>
          </w:p>
        </w:tc>
      </w:tr>
    </w:tbl>
    <w:p w14:paraId="4A533142" w14:textId="77777777" w:rsidR="000E5EA3" w:rsidRPr="006F035E" w:rsidRDefault="000E5EA3" w:rsidP="00CE3D5C"/>
    <w:p w14:paraId="1BB043D8" w14:textId="77777777" w:rsidR="00CA5D2A" w:rsidRPr="006F035E" w:rsidRDefault="00CA5D2A" w:rsidP="00CE3D5C"/>
    <w:p w14:paraId="7B29EDF2" w14:textId="0FFCE53A" w:rsidR="00992E61" w:rsidRPr="006F035E" w:rsidRDefault="00122654" w:rsidP="00CE3D5C">
      <w:r>
        <w:t>w</w:t>
      </w:r>
      <w:r w:rsidR="00CA5D2A" w:rsidRPr="006F035E">
        <w:t>here</w:t>
      </w:r>
      <w:r w:rsidR="00547AE5"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  <w:vertAlign w:val="subscript"/>
              </w:rPr>
              <m:t>y</m:t>
            </m:r>
          </m:sub>
        </m:sSub>
      </m:oMath>
      <w:r w:rsidR="00547AE5">
        <w:rPr>
          <w:iCs/>
        </w:rPr>
        <w:t xml:space="preserve"> is the </w:t>
      </w:r>
      <w:r w:rsidR="00547AE5">
        <w:t>s</w:t>
      </w:r>
      <w:r w:rsidR="00CA5D2A" w:rsidRPr="006F035E">
        <w:t>tandard uncertainty of y with k=1 (%)</w:t>
      </w:r>
      <w:r w:rsidR="00547AE5">
        <w:t>.</w:t>
      </w:r>
    </w:p>
    <w:p w14:paraId="47D34F8F" w14:textId="4B299720" w:rsidR="00992E61" w:rsidRPr="006F035E" w:rsidRDefault="00992E61" w:rsidP="00CE3D5C">
      <w:r w:rsidRPr="006F035E">
        <w:t xml:space="preserve">The expanded uncertainty of </w:t>
      </w:r>
      <m:oMath>
        <m:r>
          <w:rPr>
            <w:rFonts w:ascii="Cambria Math" w:hAnsi="Cambria Math"/>
          </w:rPr>
          <m:t>y</m:t>
        </m:r>
      </m:oMath>
      <w:r w:rsidRPr="006F035E">
        <w:t xml:space="preserve"> </w:t>
      </w:r>
      <w:r w:rsidR="00547AE5">
        <w:t xml:space="preserve">for </w:t>
      </w:r>
      <m:oMath>
        <m:r>
          <w:rPr>
            <w:rFonts w:ascii="Cambria Math" w:hAnsi="Cambria Math"/>
          </w:rPr>
          <m:t>k=2</m:t>
        </m:r>
      </m:oMath>
      <w:r w:rsidR="00547AE5">
        <w:t xml:space="preserve"> is</w:t>
      </w:r>
      <w:r w:rsidRPr="006F035E">
        <w:t xml:space="preserve"> calculated with</w:t>
      </w:r>
    </w:p>
    <w:tbl>
      <w:tblPr>
        <w:tblStyle w:val="Mkatabulky"/>
        <w:tblpPr w:leftFromText="141" w:rightFromText="141" w:vertAnchor="text" w:horzAnchor="page" w:tblpX="3574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</w:tblGrid>
      <w:tr w:rsidR="00992E61" w:rsidRPr="006F035E" w14:paraId="503F01C7" w14:textId="77777777" w:rsidTr="0092040C">
        <w:tc>
          <w:tcPr>
            <w:tcW w:w="4962" w:type="dxa"/>
            <w:vAlign w:val="center"/>
          </w:tcPr>
          <w:p w14:paraId="3BB61DF5" w14:textId="77777777" w:rsidR="00992E61" w:rsidRPr="00992E61" w:rsidRDefault="00992E61" w:rsidP="00CE3D5C">
            <w:pPr>
              <w:rPr>
                <w:rFonts w:asciiTheme="minorHAnsi" w:hAnsiTheme="minorHAnsi"/>
                <w:color w:val="FF0000"/>
                <w:sz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eastAsia="en-US"/>
                  </w:rPr>
                  <m:t>U</m:t>
                </m:r>
                <m:d>
                  <m:d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eastAsia="en-US"/>
                      </w:rPr>
                      <m:t>y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en-US"/>
                  </w:rPr>
                  <m:t>=2∙</m:t>
                </m:r>
                <m:sSub>
                  <m:sSub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2268" w:type="dxa"/>
            <w:vAlign w:val="center"/>
          </w:tcPr>
          <w:p w14:paraId="54A81BCA" w14:textId="7CD96371" w:rsidR="00992E61" w:rsidRPr="00992E61" w:rsidRDefault="00992E61" w:rsidP="00CE3D5C">
            <w:pPr>
              <w:rPr>
                <w:lang w:eastAsia="en-US"/>
              </w:rPr>
            </w:pPr>
            <w:r w:rsidRPr="00992E61">
              <w:rPr>
                <w:lang w:eastAsia="en-US"/>
              </w:rPr>
              <w:t>(</w:t>
            </w:r>
            <w:r w:rsidRPr="00992E61">
              <w:rPr>
                <w:lang w:eastAsia="en-US"/>
              </w:rPr>
              <w:fldChar w:fldCharType="begin"/>
            </w:r>
            <w:r w:rsidRPr="00992E61">
              <w:rPr>
                <w:lang w:eastAsia="en-US"/>
              </w:rPr>
              <w:instrText xml:space="preserve"> SEQ Equation \* ARABIC </w:instrText>
            </w:r>
            <w:r w:rsidRPr="00992E61">
              <w:rPr>
                <w:lang w:eastAsia="en-US"/>
              </w:rPr>
              <w:fldChar w:fldCharType="separate"/>
            </w:r>
            <w:r w:rsidRPr="00992E61">
              <w:rPr>
                <w:lang w:eastAsia="en-US"/>
              </w:rPr>
              <w:t>11</w:t>
            </w:r>
            <w:r w:rsidRPr="00992E61">
              <w:rPr>
                <w:lang w:eastAsia="en-US"/>
              </w:rPr>
              <w:fldChar w:fldCharType="end"/>
            </w:r>
            <w:r w:rsidRPr="00992E61">
              <w:rPr>
                <w:lang w:eastAsia="en-US"/>
              </w:rPr>
              <w:t>)</w:t>
            </w:r>
          </w:p>
        </w:tc>
      </w:tr>
    </w:tbl>
    <w:p w14:paraId="28A59F27" w14:textId="77777777" w:rsidR="00992E61" w:rsidRPr="006F035E" w:rsidRDefault="00992E61" w:rsidP="00CE3D5C"/>
    <w:p w14:paraId="752319A0" w14:textId="77777777" w:rsidR="00547AE5" w:rsidRDefault="00547AE5" w:rsidP="00CE3D5C">
      <w:pPr>
        <w:rPr>
          <w:lang w:eastAsia="en-US"/>
        </w:rPr>
      </w:pPr>
    </w:p>
    <w:p w14:paraId="44F05A52" w14:textId="0F3B91CD" w:rsidR="00992E61" w:rsidRPr="00992E61" w:rsidRDefault="00547AE5" w:rsidP="00CE3D5C">
      <w:pPr>
        <w:rPr>
          <w:lang w:eastAsia="en-US"/>
        </w:rPr>
      </w:pPr>
      <w:r w:rsidRPr="00992E61">
        <w:rPr>
          <w:lang w:eastAsia="en-US"/>
        </w:rPr>
        <w:t>Finally, the chi-</w:t>
      </w:r>
      <w:r w:rsidR="00992E61" w:rsidRPr="00992E61">
        <w:rPr>
          <w:lang w:eastAsia="en-US"/>
        </w:rPr>
        <w:t xml:space="preserve">squared test </w:t>
      </w:r>
      <w:r w:rsidR="00122654">
        <w:rPr>
          <w:lang w:eastAsia="en-US"/>
        </w:rPr>
        <w:t>is</w:t>
      </w:r>
      <w:r w:rsidR="00992E61" w:rsidRPr="00992E61">
        <w:rPr>
          <w:lang w:eastAsia="en-US"/>
        </w:rPr>
        <w:t xml:space="preserve"> applied to check whether the determined errors and accompanying uncertainties can be expected based on a Gaussian distribution. If so, the </w:t>
      </w:r>
      <w:r w:rsidR="00992E61" w:rsidRPr="00992E61">
        <w:rPr>
          <w:i/>
          <w:iCs/>
          <w:lang w:eastAsia="en-US"/>
        </w:rPr>
        <w:t>y</w:t>
      </w:r>
      <w:r w:rsidR="00992E61" w:rsidRPr="00992E61">
        <w:rPr>
          <w:lang w:eastAsia="en-US"/>
        </w:rPr>
        <w:t xml:space="preserve"> </w:t>
      </w:r>
      <w:r w:rsidR="00122654">
        <w:rPr>
          <w:lang w:eastAsia="en-US"/>
        </w:rPr>
        <w:t>is</w:t>
      </w:r>
      <w:r w:rsidR="00992E61" w:rsidRPr="00992E61">
        <w:rPr>
          <w:lang w:eastAsia="en-US"/>
        </w:rPr>
        <w:t xml:space="preserve"> accepted. The chi-squared test is defined as follows:</w:t>
      </w:r>
    </w:p>
    <w:tbl>
      <w:tblPr>
        <w:tblStyle w:val="Mkatabulky"/>
        <w:tblpPr w:leftFromText="141" w:rightFromText="141" w:vertAnchor="text" w:horzAnchor="page" w:tblpX="2341" w:tblpY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</w:tblGrid>
      <w:tr w:rsidR="00992E61" w:rsidRPr="00992E61" w14:paraId="666AAB81" w14:textId="77777777" w:rsidTr="0092040C">
        <w:tc>
          <w:tcPr>
            <w:tcW w:w="6096" w:type="dxa"/>
            <w:vAlign w:val="center"/>
          </w:tcPr>
          <w:p w14:paraId="2D6CDFCF" w14:textId="77777777" w:rsidR="00992E61" w:rsidRPr="00992E61" w:rsidRDefault="00000000" w:rsidP="00CE3D5C">
            <w:pPr>
              <w:rPr>
                <w:rFonts w:asciiTheme="minorHAnsi" w:hAnsiTheme="minorHAnsi"/>
                <w:color w:val="FF0000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χ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obs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lang w:eastAsia="en-US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eastAsia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lang w:eastAsia="en-US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lang w:eastAsia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eastAsia="en-US"/>
                                      </w:rPr>
                                      <m:t>ε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eastAsia="en-US"/>
                                      </w:rPr>
                                      <m:t>lab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lang w:eastAsia="en-US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/>
                                        <w:lang w:eastAsia="en-US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en-US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lang w:eastAsia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lang w:eastAsia="en-US"/>
                                      </w:rPr>
                                      <m:t>ε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lang w:eastAsia="en-US"/>
                                      </w:rPr>
                                      <m:t>RV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lang w:eastAsia="en-US"/>
                                  </w:rPr>
                                  <m:t>u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lang w:eastAsia="en-US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lang w:eastAsia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lang w:eastAsia="en-US"/>
                                          </w:rPr>
                                          <m:t>ε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lang w:eastAsia="en-US"/>
                                          </w:rPr>
                                          <m:t>lab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eastAsia="en-US"/>
                                          </w:rPr>
                                          <m:t xml:space="preserve"> 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lang w:eastAsia="en-US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d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2126" w:type="dxa"/>
            <w:vAlign w:val="center"/>
          </w:tcPr>
          <w:p w14:paraId="44D2CF62" w14:textId="77777777" w:rsidR="00992E61" w:rsidRPr="00992E61" w:rsidRDefault="00992E61" w:rsidP="00CE3D5C">
            <w:pPr>
              <w:rPr>
                <w:color w:val="FF0000"/>
                <w:lang w:eastAsia="en-US"/>
              </w:rPr>
            </w:pPr>
            <w:bookmarkStart w:id="28" w:name="_Ref134539523"/>
            <w:r w:rsidRPr="00992E61">
              <w:rPr>
                <w:lang w:eastAsia="en-US"/>
              </w:rPr>
              <w:t>(</w:t>
            </w:r>
            <w:r w:rsidRPr="00992E61">
              <w:rPr>
                <w:lang w:eastAsia="en-US"/>
              </w:rPr>
              <w:fldChar w:fldCharType="begin"/>
            </w:r>
            <w:r w:rsidRPr="00992E61">
              <w:rPr>
                <w:lang w:eastAsia="en-US"/>
              </w:rPr>
              <w:instrText xml:space="preserve"> SEQ Equation \* ARABIC </w:instrText>
            </w:r>
            <w:r w:rsidRPr="00992E61">
              <w:rPr>
                <w:lang w:eastAsia="en-US"/>
              </w:rPr>
              <w:fldChar w:fldCharType="separate"/>
            </w:r>
            <w:r w:rsidRPr="00992E61">
              <w:rPr>
                <w:lang w:eastAsia="en-US"/>
              </w:rPr>
              <w:t>12</w:t>
            </w:r>
            <w:r w:rsidRPr="00992E61">
              <w:rPr>
                <w:lang w:eastAsia="en-US"/>
              </w:rPr>
              <w:fldChar w:fldCharType="end"/>
            </w:r>
            <w:bookmarkEnd w:id="28"/>
            <w:r w:rsidRPr="00992E61">
              <w:rPr>
                <w:lang w:eastAsia="en-US"/>
              </w:rPr>
              <w:t>)</w:t>
            </w:r>
          </w:p>
        </w:tc>
      </w:tr>
    </w:tbl>
    <w:p w14:paraId="05E5B437" w14:textId="77777777" w:rsidR="00992E61" w:rsidRPr="006F035E" w:rsidRDefault="00992E61" w:rsidP="00CE3D5C"/>
    <w:p w14:paraId="04620327" w14:textId="77777777" w:rsidR="00547AE5" w:rsidRDefault="00547AE5" w:rsidP="00CE3D5C"/>
    <w:p w14:paraId="0EAD52FA" w14:textId="0D17D805" w:rsidR="00992E61" w:rsidRPr="006F035E" w:rsidRDefault="00122654" w:rsidP="00CE3D5C">
      <w:r>
        <w:t>w</w:t>
      </w:r>
      <w:r w:rsidR="00992E61" w:rsidRPr="006F035E">
        <w:t>here</w:t>
      </w:r>
      <w:r w:rsidR="00547AE5">
        <w:t xml:space="preserve"> </w:t>
      </w:r>
      <m:oMath>
        <m:sSubSup>
          <m:sSubSupPr>
            <m:ctrlPr>
              <w:rPr>
                <w:rFonts w:ascii="Cambria Math" w:hAnsi="Cambria Math"/>
                <w:i/>
                <w:lang w:eastAsia="en-US"/>
              </w:rPr>
            </m:ctrlPr>
          </m:sSubSupPr>
          <m:e>
            <m:r>
              <w:rPr>
                <w:rFonts w:ascii="Cambria Math" w:hAnsi="Cambria Math"/>
                <w:lang w:eastAsia="en-US"/>
              </w:rPr>
              <m:t>χ</m:t>
            </m:r>
          </m:e>
          <m:sub>
            <m:r>
              <w:rPr>
                <w:rFonts w:ascii="Cambria Math" w:hAnsi="Cambria Math"/>
                <w:lang w:eastAsia="en-US"/>
              </w:rPr>
              <m:t>obs</m:t>
            </m:r>
          </m:sub>
          <m:sup>
            <m:r>
              <w:rPr>
                <w:rFonts w:ascii="Cambria Math" w:hAnsi="Cambria Math"/>
                <w:lang w:eastAsia="en-US"/>
              </w:rPr>
              <m:t>2</m:t>
            </m:r>
          </m:sup>
        </m:sSubSup>
      </m:oMath>
      <w:r w:rsidR="00547AE5">
        <w:t xml:space="preserve"> is the o</w:t>
      </w:r>
      <w:r w:rsidR="00992E61" w:rsidRPr="006F035E">
        <w:t>bserved chi-squared value</w:t>
      </w:r>
      <w:r w:rsidR="00547AE5">
        <w:t>.</w:t>
      </w:r>
    </w:p>
    <w:p w14:paraId="69261F2F" w14:textId="233292DA" w:rsidR="00992E61" w:rsidRPr="006F035E" w:rsidRDefault="00992E61" w:rsidP="00CE3D5C">
      <w:r w:rsidRPr="006F035E">
        <w:t xml:space="preserve">The degrees of freedom </w:t>
      </w:r>
      <m:oMath>
        <m:r>
          <w:rPr>
            <w:rFonts w:ascii="Cambria Math" w:hAnsi="Cambria Math"/>
          </w:rPr>
          <m:t>υ</m:t>
        </m:r>
      </m:oMath>
      <w:r w:rsidRPr="006F035E">
        <w:t xml:space="preserve"> </w:t>
      </w:r>
      <w:r w:rsidR="00547AE5">
        <w:t>are</w:t>
      </w:r>
      <w:r w:rsidRPr="006F035E">
        <w:t xml:space="preserve"> estimated with:</w:t>
      </w:r>
    </w:p>
    <w:tbl>
      <w:tblPr>
        <w:tblStyle w:val="Mkatabulky"/>
        <w:tblpPr w:leftFromText="141" w:rightFromText="141" w:vertAnchor="text" w:horzAnchor="page" w:tblpX="2341" w:tblpY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1101"/>
      </w:tblGrid>
      <w:tr w:rsidR="00BD1767" w:rsidRPr="006F035E" w14:paraId="27D40112" w14:textId="77777777" w:rsidTr="0092040C">
        <w:tc>
          <w:tcPr>
            <w:tcW w:w="6771" w:type="dxa"/>
            <w:vAlign w:val="center"/>
          </w:tcPr>
          <w:p w14:paraId="658C918B" w14:textId="77777777" w:rsidR="00992E61" w:rsidRPr="00992E61" w:rsidRDefault="00992E61" w:rsidP="00CE3D5C">
            <w:pPr>
              <w:rPr>
                <w:rFonts w:asciiTheme="minorHAnsi" w:hAnsiTheme="minorHAnsi"/>
                <w:sz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eastAsia="en-US"/>
                  </w:rPr>
                  <m:t>υ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eastAsia="en-US"/>
                  </w:rPr>
                  <m:t>-1</m:t>
                </m:r>
              </m:oMath>
            </m:oMathPara>
          </w:p>
        </w:tc>
        <w:tc>
          <w:tcPr>
            <w:tcW w:w="1101" w:type="dxa"/>
            <w:vAlign w:val="center"/>
          </w:tcPr>
          <w:p w14:paraId="5CB85CFB" w14:textId="77777777" w:rsidR="00992E61" w:rsidRPr="00992E61" w:rsidRDefault="00992E61" w:rsidP="00CE3D5C">
            <w:pPr>
              <w:rPr>
                <w:lang w:eastAsia="en-US"/>
              </w:rPr>
            </w:pPr>
            <w:r w:rsidRPr="00992E61">
              <w:rPr>
                <w:lang w:eastAsia="en-US"/>
              </w:rPr>
              <w:t>(</w:t>
            </w:r>
            <w:r w:rsidRPr="00992E61">
              <w:rPr>
                <w:lang w:eastAsia="en-US"/>
              </w:rPr>
              <w:fldChar w:fldCharType="begin"/>
            </w:r>
            <w:r w:rsidRPr="00992E61">
              <w:rPr>
                <w:lang w:eastAsia="en-US"/>
              </w:rPr>
              <w:instrText xml:space="preserve"> SEQ Equation \* ARABIC </w:instrText>
            </w:r>
            <w:r w:rsidRPr="00992E61">
              <w:rPr>
                <w:lang w:eastAsia="en-US"/>
              </w:rPr>
              <w:fldChar w:fldCharType="separate"/>
            </w:r>
            <w:r w:rsidRPr="00992E61">
              <w:rPr>
                <w:lang w:eastAsia="en-US"/>
              </w:rPr>
              <w:t>13</w:t>
            </w:r>
            <w:r w:rsidRPr="00992E61">
              <w:rPr>
                <w:lang w:eastAsia="en-US"/>
              </w:rPr>
              <w:fldChar w:fldCharType="end"/>
            </w:r>
            <w:r w:rsidRPr="00992E61">
              <w:rPr>
                <w:lang w:eastAsia="en-US"/>
              </w:rPr>
              <w:t>)</w:t>
            </w:r>
          </w:p>
        </w:tc>
      </w:tr>
    </w:tbl>
    <w:p w14:paraId="3DD8E23A" w14:textId="77777777" w:rsidR="00992E61" w:rsidRPr="006F035E" w:rsidRDefault="00992E61" w:rsidP="00CE3D5C"/>
    <w:p w14:paraId="56DD0211" w14:textId="77777777" w:rsidR="00547AE5" w:rsidRDefault="00547AE5" w:rsidP="00CE3D5C"/>
    <w:p w14:paraId="7717573D" w14:textId="7706FBE2" w:rsidR="00992E61" w:rsidRPr="006F035E" w:rsidRDefault="00122654" w:rsidP="00CE3D5C">
      <w:r>
        <w:t>w</w:t>
      </w:r>
      <w:r w:rsidR="00992E61" w:rsidRPr="006F035E">
        <w:t>here</w:t>
      </w:r>
      <w:r w:rsidR="00547AE5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n</m:t>
            </m:r>
          </m:e>
          <m:sub>
            <m:r>
              <w:rPr>
                <w:rFonts w:ascii="Cambria Math" w:hAnsi="Cambria Math"/>
                <w:lang w:eastAsia="en-US"/>
              </w:rPr>
              <m:t>i</m:t>
            </m:r>
          </m:sub>
        </m:sSub>
      </m:oMath>
      <w:r w:rsidR="00547AE5">
        <w:rPr>
          <w:lang w:eastAsia="en-US"/>
        </w:rPr>
        <w:t xml:space="preserve">is the </w:t>
      </w:r>
      <w:r w:rsidR="00992E61" w:rsidRPr="006F035E">
        <w:rPr>
          <w:lang w:eastAsia="en-US"/>
        </w:rPr>
        <w:t>number of evaluated laboratories</w:t>
      </w:r>
      <w:r w:rsidR="00547AE5">
        <w:rPr>
          <w:lang w:eastAsia="en-US"/>
        </w:rPr>
        <w:t>.</w:t>
      </w:r>
    </w:p>
    <w:p w14:paraId="63CEEF19" w14:textId="5D5F2827" w:rsidR="0053019C" w:rsidRPr="0053019C" w:rsidRDefault="0053019C" w:rsidP="00CE3D5C">
      <w:pPr>
        <w:rPr>
          <w:lang w:eastAsia="en-US"/>
        </w:rPr>
      </w:pPr>
      <w:r w:rsidRPr="0053019C">
        <w:rPr>
          <w:lang w:eastAsia="en-US"/>
        </w:rPr>
        <w:lastRenderedPageBreak/>
        <w:t xml:space="preserve">For data evaluation the CHIINV(0.05;v) function of MS Excel </w:t>
      </w:r>
      <w:r w:rsidR="00122654">
        <w:rPr>
          <w:lang w:eastAsia="en-US"/>
        </w:rPr>
        <w:t>is</w:t>
      </w:r>
      <w:r w:rsidRPr="0053019C">
        <w:rPr>
          <w:lang w:eastAsia="en-US"/>
        </w:rPr>
        <w:t xml:space="preserve"> used. The consistency check fail</w:t>
      </w:r>
      <w:r w:rsidR="00122654">
        <w:rPr>
          <w:lang w:eastAsia="en-US"/>
        </w:rPr>
        <w:t>s</w:t>
      </w:r>
      <w:r w:rsidRPr="0053019C">
        <w:rPr>
          <w:lang w:eastAsia="en-US"/>
        </w:rPr>
        <w:t xml:space="preserve"> if CHIINV(0.05;v) gives values &lt; than </w:t>
      </w:r>
      <m:oMath>
        <m:sSubSup>
          <m:sSubSupPr>
            <m:ctrlPr>
              <w:rPr>
                <w:rFonts w:ascii="Cambria Math" w:hAnsi="Cambria Math"/>
                <w:i/>
                <w:lang w:eastAsia="en-US"/>
              </w:rPr>
            </m:ctrlPr>
          </m:sSubSupPr>
          <m:e>
            <m:r>
              <w:rPr>
                <w:rFonts w:ascii="Cambria Math" w:hAnsi="Cambria Math"/>
                <w:lang w:eastAsia="en-US"/>
              </w:rPr>
              <m:t>Χ</m:t>
            </m:r>
          </m:e>
          <m:sub>
            <m:r>
              <w:rPr>
                <w:rFonts w:ascii="Cambria Math" w:hAnsi="Cambria Math"/>
                <w:lang w:eastAsia="en-US"/>
              </w:rPr>
              <m:t>obs</m:t>
            </m:r>
          </m:sub>
          <m:sup>
            <m:r>
              <w:rPr>
                <w:rFonts w:ascii="Cambria Math" w:hAnsi="Cambria Math"/>
                <w:lang w:eastAsia="en-US"/>
              </w:rPr>
              <m:t>2</m:t>
            </m:r>
          </m:sup>
        </m:sSubSup>
      </m:oMath>
      <w:r w:rsidRPr="0053019C">
        <w:rPr>
          <w:lang w:eastAsia="en-US"/>
        </w:rPr>
        <w:t xml:space="preserve">. Note, here </w:t>
      </w:r>
      <m:oMath>
        <m:r>
          <w:rPr>
            <w:rFonts w:ascii="Cambria Math" w:hAnsi="Cambria Math"/>
            <w:lang w:eastAsia="en-US"/>
          </w:rPr>
          <m:t>u</m:t>
        </m:r>
        <m:d>
          <m:dPr>
            <m:ctrlPr>
              <w:rPr>
                <w:rFonts w:ascii="Cambria Math" w:hAnsi="Cambria Math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lang w:eastAsia="en-US"/>
                  </w:rPr>
                  <m:t>ε</m:t>
                </m:r>
              </m:e>
              <m:sub>
                <m:r>
                  <w:rPr>
                    <w:rFonts w:ascii="Cambria Math" w:hAnsi="Cambria Math"/>
                    <w:lang w:eastAsia="en-US"/>
                  </w:rPr>
                  <m:t>lab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en-US"/>
                  </w:rPr>
                  <m:t xml:space="preserve"> </m:t>
                </m:r>
                <m:r>
                  <w:rPr>
                    <w:rFonts w:ascii="Cambria Math" w:hAnsi="Cambria Math"/>
                    <w:lang w:eastAsia="en-US"/>
                  </w:rPr>
                  <m:t>i</m:t>
                </m:r>
              </m:sub>
            </m:sSub>
          </m:e>
        </m:d>
      </m:oMath>
      <w:r w:rsidRPr="0053019C">
        <w:rPr>
          <w:lang w:eastAsia="en-US"/>
        </w:rPr>
        <w:t xml:space="preserve"> is the standard uncertainty (</w:t>
      </w:r>
      <w:r w:rsidRPr="0053019C">
        <w:rPr>
          <w:i/>
          <w:iCs/>
          <w:lang w:eastAsia="en-US"/>
        </w:rPr>
        <w:t>k</w:t>
      </w:r>
      <w:r w:rsidRPr="0053019C">
        <w:rPr>
          <w:lang w:eastAsia="en-US"/>
        </w:rPr>
        <w:t xml:space="preserve"> = 1). The set of measurement results for a certain flow point </w:t>
      </w:r>
      <w:r w:rsidR="00122654">
        <w:rPr>
          <w:lang w:eastAsia="en-US"/>
        </w:rPr>
        <w:t>is</w:t>
      </w:r>
      <w:r w:rsidRPr="0053019C">
        <w:rPr>
          <w:lang w:eastAsia="en-US"/>
        </w:rPr>
        <w:t xml:space="preserve"> only accepted when:</w:t>
      </w:r>
    </w:p>
    <w:tbl>
      <w:tblPr>
        <w:tblStyle w:val="Mkatabulky"/>
        <w:tblpPr w:leftFromText="141" w:rightFromText="141" w:vertAnchor="text" w:horzAnchor="page" w:tblpX="2341" w:tblpY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1734"/>
      </w:tblGrid>
      <w:tr w:rsidR="00BD1767" w:rsidRPr="006F035E" w14:paraId="7C0EBBE4" w14:textId="77777777" w:rsidTr="0092040C">
        <w:trPr>
          <w:trHeight w:val="424"/>
        </w:trPr>
        <w:tc>
          <w:tcPr>
            <w:tcW w:w="6771" w:type="dxa"/>
            <w:vAlign w:val="center"/>
          </w:tcPr>
          <w:p w14:paraId="104C2B2F" w14:textId="77777777" w:rsidR="000023FF" w:rsidRPr="000023FF" w:rsidRDefault="000023FF" w:rsidP="00CE3D5C">
            <w:pPr>
              <w:rPr>
                <w:rFonts w:asciiTheme="minorHAnsi" w:hAnsiTheme="minorHAnsi"/>
                <w:sz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eastAsia="en-US"/>
                  </w:rPr>
                  <m:t>Pr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Χ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v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&gt;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Χ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obs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p>
                    </m:sSub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en-US"/>
                  </w:rPr>
                  <m:t>&lt;0.05</m:t>
                </m:r>
              </m:oMath>
            </m:oMathPara>
          </w:p>
        </w:tc>
        <w:tc>
          <w:tcPr>
            <w:tcW w:w="1734" w:type="dxa"/>
            <w:vAlign w:val="center"/>
          </w:tcPr>
          <w:p w14:paraId="55215D8D" w14:textId="77777777" w:rsidR="000023FF" w:rsidRPr="000023FF" w:rsidRDefault="000023FF" w:rsidP="00CE3D5C">
            <w:pPr>
              <w:rPr>
                <w:lang w:eastAsia="en-US"/>
              </w:rPr>
            </w:pPr>
            <w:bookmarkStart w:id="29" w:name="_Ref134537229"/>
            <w:r w:rsidRPr="000023FF">
              <w:rPr>
                <w:lang w:eastAsia="en-US"/>
              </w:rPr>
              <w:t>(</w:t>
            </w:r>
            <w:r w:rsidRPr="000023FF">
              <w:rPr>
                <w:lang w:eastAsia="en-US"/>
              </w:rPr>
              <w:fldChar w:fldCharType="begin"/>
            </w:r>
            <w:r w:rsidRPr="000023FF">
              <w:rPr>
                <w:lang w:eastAsia="en-US"/>
              </w:rPr>
              <w:instrText xml:space="preserve"> SEQ Equation \* ARABIC </w:instrText>
            </w:r>
            <w:r w:rsidRPr="000023FF">
              <w:rPr>
                <w:lang w:eastAsia="en-US"/>
              </w:rPr>
              <w:fldChar w:fldCharType="separate"/>
            </w:r>
            <w:r w:rsidRPr="000023FF">
              <w:rPr>
                <w:lang w:eastAsia="en-US"/>
              </w:rPr>
              <w:t>14</w:t>
            </w:r>
            <w:r w:rsidRPr="000023FF">
              <w:rPr>
                <w:lang w:eastAsia="en-US"/>
              </w:rPr>
              <w:fldChar w:fldCharType="end"/>
            </w:r>
            <w:bookmarkEnd w:id="29"/>
            <w:r w:rsidRPr="000023FF">
              <w:rPr>
                <w:lang w:eastAsia="en-US"/>
              </w:rPr>
              <w:t>)</w:t>
            </w:r>
          </w:p>
        </w:tc>
      </w:tr>
    </w:tbl>
    <w:p w14:paraId="16C2A994" w14:textId="77777777" w:rsidR="00992E61" w:rsidRPr="006F035E" w:rsidRDefault="00992E61" w:rsidP="00CE3D5C"/>
    <w:p w14:paraId="66D7C718" w14:textId="77777777" w:rsidR="00547AE5" w:rsidRDefault="00547AE5" w:rsidP="00CE3D5C"/>
    <w:p w14:paraId="01253A1E" w14:textId="2250D012" w:rsidR="0053019C" w:rsidRPr="00547AE5" w:rsidRDefault="00122654" w:rsidP="00CE3D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023FF" w:rsidRPr="00547AE5">
        <w:rPr>
          <w:rFonts w:asciiTheme="minorHAnsi" w:hAnsiTheme="minorHAnsi" w:cstheme="minorHAnsi"/>
        </w:rPr>
        <w:t>here</w:t>
      </w:r>
      <w:r w:rsidR="00547AE5" w:rsidRPr="00547AE5">
        <w:rPr>
          <w:rFonts w:asciiTheme="minorHAnsi" w:hAnsiTheme="minorHAnsi" w:cstheme="minorHAnsi"/>
        </w:rPr>
        <w:t xml:space="preserve"> </w:t>
      </w:r>
      <m:oMath>
        <m:sSubSup>
          <m:sSubSupPr>
            <m:ctrlPr>
              <w:rPr>
                <w:rFonts w:ascii="Cambria Math" w:hAnsi="Cambria Math" w:cstheme="minorHAnsi"/>
                <w:lang w:eastAsia="en-US"/>
              </w:rPr>
            </m:ctrlPr>
          </m:sSubSupPr>
          <m:e>
            <m:r>
              <w:rPr>
                <w:rFonts w:ascii="Cambria Math" w:hAnsi="Cambria Math" w:cstheme="minorHAnsi"/>
                <w:lang w:eastAsia="en-US"/>
              </w:rPr>
              <m:t>Χ</m:t>
            </m:r>
          </m:e>
          <m:sub>
            <m:r>
              <w:rPr>
                <w:rFonts w:ascii="Cambria Math" w:hAnsi="Cambria Math" w:cstheme="minorHAnsi"/>
                <w:lang w:eastAsia="en-US"/>
              </w:rPr>
              <m:t>v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lang w:eastAsia="en-US"/>
              </w:rPr>
              <m:t>2</m:t>
            </m:r>
          </m:sup>
        </m:sSubSup>
      </m:oMath>
      <w:r w:rsidR="00547AE5" w:rsidRPr="00547AE5">
        <w:rPr>
          <w:rFonts w:asciiTheme="minorHAnsi" w:hAnsiTheme="minorHAnsi" w:cstheme="minorHAnsi"/>
          <w:lang w:eastAsia="en-US"/>
        </w:rPr>
        <w:t xml:space="preserve"> is the </w:t>
      </w:r>
      <w:r w:rsidR="00547AE5" w:rsidRPr="00547AE5">
        <w:rPr>
          <w:rFonts w:asciiTheme="minorHAnsi" w:hAnsiTheme="minorHAnsi" w:cstheme="minorHAnsi"/>
        </w:rPr>
        <w:t>c</w:t>
      </w:r>
      <w:r w:rsidR="000023FF" w:rsidRPr="00547AE5">
        <w:rPr>
          <w:rFonts w:asciiTheme="minorHAnsi" w:hAnsiTheme="minorHAnsi" w:cstheme="minorHAnsi"/>
        </w:rPr>
        <w:t>hi-squared test value</w:t>
      </w:r>
      <w:r w:rsidR="00547AE5" w:rsidRPr="00547AE5">
        <w:rPr>
          <w:rFonts w:asciiTheme="minorHAnsi" w:hAnsiTheme="minorHAnsi" w:cstheme="minorHAnsi"/>
        </w:rPr>
        <w:t>.</w:t>
      </w:r>
    </w:p>
    <w:p w14:paraId="26EF7BBF" w14:textId="624E6C58" w:rsidR="0053019C" w:rsidRPr="00CE3D5C" w:rsidRDefault="000023FF" w:rsidP="00CE3D5C">
      <w:r w:rsidRPr="006F035E">
        <w:t xml:space="preserve">If consistency check of Equation </w:t>
      </w:r>
      <w:r w:rsidRPr="006F035E">
        <w:fldChar w:fldCharType="begin"/>
      </w:r>
      <w:r w:rsidRPr="006F035E">
        <w:instrText xml:space="preserve"> REF _Ref134537229 \h </w:instrText>
      </w:r>
      <w:r w:rsidRPr="006F035E">
        <w:fldChar w:fldCharType="separate"/>
      </w:r>
      <w:r w:rsidRPr="006F035E">
        <w:rPr>
          <w:sz w:val="20"/>
          <w:szCs w:val="18"/>
        </w:rPr>
        <w:t>(14</w:t>
      </w:r>
      <w:r w:rsidRPr="006F035E">
        <w:fldChar w:fldCharType="end"/>
      </w:r>
      <w:r w:rsidRPr="006F035E">
        <w:t>) passe</w:t>
      </w:r>
      <w:r w:rsidR="00122654">
        <w:t>s</w:t>
      </w:r>
      <w:r w:rsidRPr="006F035E">
        <w:t xml:space="preserve">, </w:t>
      </w:r>
      <m:oMath>
        <m:r>
          <w:rPr>
            <w:rFonts w:ascii="Cambria Math" w:hAnsi="Cambria Math"/>
          </w:rPr>
          <m:t>y</m:t>
        </m:r>
      </m:oMath>
      <w:r w:rsidRPr="006F035E">
        <w:t xml:space="preserve"> </w:t>
      </w:r>
      <w:r w:rsidR="00547AE5">
        <w:t>is</w:t>
      </w:r>
      <w:r w:rsidRPr="006F035E">
        <w:t xml:space="preserve"> accepted as the Comparison Reference Value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CRV</m:t>
            </m:r>
          </m:sub>
        </m:sSub>
      </m:oMath>
      <w:r w:rsidRPr="006F035E">
        <w:t xml:space="preserve"> and </w:t>
      </w:r>
      <m:oMath>
        <m:r>
          <w:rPr>
            <w:rFonts w:ascii="Cambria Math" w:hAnsi="Cambria Math"/>
          </w:rPr>
          <m:t>U(y)</m:t>
        </m:r>
      </m:oMath>
      <w:r w:rsidRPr="006F035E">
        <w:t xml:space="preserve"> </w:t>
      </w:r>
      <w:r w:rsidR="00547AE5">
        <w:t>i</w:t>
      </w:r>
      <w:r w:rsidRPr="006F035E">
        <w:t>s accepted as the expanded uncertainty</w:t>
      </w:r>
      <w:r w:rsidR="00547AE5">
        <w:t xml:space="preserve">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CRV</m:t>
                </m:r>
              </m:sub>
            </m:sSub>
          </m:e>
        </m:d>
      </m:oMath>
      <w:r w:rsidRPr="006F035E">
        <w:t xml:space="preserve">. If the test of Equation </w:t>
      </w:r>
      <w:r w:rsidRPr="006F035E">
        <w:fldChar w:fldCharType="begin"/>
      </w:r>
      <w:r w:rsidRPr="006F035E">
        <w:instrText xml:space="preserve"> REF _Ref134537229 \h </w:instrText>
      </w:r>
      <w:r w:rsidRPr="006F035E">
        <w:fldChar w:fldCharType="separate"/>
      </w:r>
      <w:r w:rsidRPr="006F035E">
        <w:rPr>
          <w:sz w:val="20"/>
          <w:szCs w:val="18"/>
        </w:rPr>
        <w:t>(14</w:t>
      </w:r>
      <w:r w:rsidRPr="006F035E">
        <w:fldChar w:fldCharType="end"/>
      </w:r>
      <w:r w:rsidRPr="006F035E">
        <w:t>) fail</w:t>
      </w:r>
      <w:r w:rsidR="00F822EA">
        <w:t>s</w:t>
      </w:r>
      <w:r w:rsidRPr="006F035E">
        <w:t xml:space="preserve">, the laboratory with </w:t>
      </w:r>
      <w:r w:rsidR="00122654">
        <w:t xml:space="preserve">the </w:t>
      </w:r>
      <w:r w:rsidRPr="006F035E">
        <w:t xml:space="preserve">highest value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-y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/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ε,i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 xml:space="preserve"> </m:t>
        </m:r>
      </m:oMath>
      <w:r w:rsidR="00F822EA">
        <w:t xml:space="preserve">is </w:t>
      </w:r>
      <w:r w:rsidRPr="006F035E">
        <w:t xml:space="preserve">excluded for the next evaluation round. New values of </w:t>
      </w:r>
      <m:oMath>
        <m:r>
          <w:rPr>
            <w:rFonts w:ascii="Cambria Math" w:hAnsi="Cambria Math"/>
          </w:rPr>
          <m:t>y</m:t>
        </m:r>
      </m:oMath>
      <w:r w:rsidRPr="006F035E">
        <w:t xml:space="preserve">, </w:t>
      </w:r>
      <m:oMath>
        <m:r>
          <w:rPr>
            <w:rFonts w:ascii="Cambria Math" w:hAnsi="Cambria Math"/>
          </w:rPr>
          <m:t>U(y)</m:t>
        </m:r>
      </m:oMath>
      <w:r w:rsidRPr="006F035E">
        <w:t xml:space="preserve"> and </w:t>
      </w:r>
      <m:oMath>
        <m:sSubSup>
          <m:sSubSupPr>
            <m:ctrlPr>
              <w:rPr>
                <w:rFonts w:ascii="Cambria Math" w:hAnsi="Cambria Math"/>
                <w:i/>
                <w:lang w:eastAsia="en-US"/>
              </w:rPr>
            </m:ctrlPr>
          </m:sSubSupPr>
          <m:e>
            <m:r>
              <w:rPr>
                <w:rFonts w:ascii="Cambria Math" w:hAnsi="Cambria Math"/>
                <w:lang w:eastAsia="en-US"/>
              </w:rPr>
              <m:t>χ</m:t>
            </m:r>
          </m:e>
          <m:sub>
            <m:r>
              <w:rPr>
                <w:rFonts w:ascii="Cambria Math" w:hAnsi="Cambria Math"/>
                <w:lang w:eastAsia="en-US"/>
              </w:rPr>
              <m:t>obs</m:t>
            </m:r>
          </m:sub>
          <m:sup>
            <m:r>
              <w:rPr>
                <w:rFonts w:ascii="Cambria Math" w:hAnsi="Cambria Math"/>
                <w:lang w:eastAsia="en-US"/>
              </w:rPr>
              <m:t>2</m:t>
            </m:r>
          </m:sup>
        </m:sSubSup>
      </m:oMath>
      <w:r w:rsidRPr="006F035E">
        <w:t xml:space="preserve"> </w:t>
      </w:r>
      <w:r w:rsidR="00F822EA">
        <w:t>a</w:t>
      </w:r>
      <w:r w:rsidRPr="006F035E">
        <w:t xml:space="preserve">re calculated and the consistency check of Equation </w:t>
      </w:r>
      <w:r w:rsidRPr="006F035E">
        <w:fldChar w:fldCharType="begin"/>
      </w:r>
      <w:r w:rsidRPr="006F035E">
        <w:instrText xml:space="preserve"> REF _Ref134537229 \h </w:instrText>
      </w:r>
      <w:r w:rsidRPr="006F035E">
        <w:fldChar w:fldCharType="separate"/>
      </w:r>
      <w:r w:rsidRPr="006F035E">
        <w:rPr>
          <w:sz w:val="20"/>
          <w:szCs w:val="18"/>
        </w:rPr>
        <w:t>(14</w:t>
      </w:r>
      <w:r w:rsidRPr="006F035E">
        <w:fldChar w:fldCharType="end"/>
      </w:r>
      <w:r w:rsidRPr="006F035E">
        <w:t xml:space="preserve">) </w:t>
      </w:r>
      <w:r w:rsidR="00F822EA">
        <w:t>is</w:t>
      </w:r>
      <w:r w:rsidRPr="006F035E">
        <w:t xml:space="preserve"> repeated.</w:t>
      </w:r>
    </w:p>
    <w:p w14:paraId="324F0BD9" w14:textId="2AD6979A" w:rsidR="00BD1767" w:rsidRPr="006F035E" w:rsidRDefault="00BD1767" w:rsidP="00CE3D5C">
      <w:pPr>
        <w:pStyle w:val="Nadpis2"/>
        <w:rPr>
          <w:lang w:eastAsia="en-US"/>
        </w:rPr>
      </w:pPr>
      <w:bookmarkStart w:id="30" w:name="_Toc106617443"/>
      <w:bookmarkStart w:id="31" w:name="_Ref134599007"/>
      <w:bookmarkStart w:id="32" w:name="_Ref134602810"/>
      <w:bookmarkStart w:id="33" w:name="_Ref134602814"/>
      <w:bookmarkStart w:id="34" w:name="_Toc148528111"/>
      <w:bookmarkStart w:id="35" w:name="_Toc152253620"/>
      <w:bookmarkStart w:id="36" w:name="_Toc193212506"/>
      <w:r w:rsidRPr="006F035E">
        <w:rPr>
          <w:lang w:eastAsia="en-US"/>
        </w:rPr>
        <w:t xml:space="preserve">Determination of normalized degree of equivalence </w:t>
      </w:r>
      <w:r w:rsidRPr="006F035E">
        <w:rPr>
          <w:i/>
          <w:iCs/>
          <w:lang w:eastAsia="en-US"/>
        </w:rPr>
        <w:t>E</w:t>
      </w:r>
      <w:r w:rsidRPr="006F035E">
        <w:rPr>
          <w:vertAlign w:val="subscript"/>
          <w:lang w:eastAsia="en-US"/>
        </w:rPr>
        <w:t>N, i</w:t>
      </w:r>
      <w:r w:rsidRPr="006F035E">
        <w:rPr>
          <w:lang w:eastAsia="en-US"/>
        </w:rPr>
        <w:t xml:space="preserve"> - Evaluation criterion A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43F4D1B3" w14:textId="12804169" w:rsidR="0053019C" w:rsidRPr="00500473" w:rsidRDefault="00BD1767" w:rsidP="00CE3D5C">
      <w:r w:rsidRPr="006F035E">
        <w:t>Differences between laboratory results (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lab</m:t>
            </m:r>
            <m:r>
              <w:rPr>
                <w:rFonts w:ascii="Cambria Math" w:hAnsi="Cambria Math"/>
                <w:vertAlign w:val="subscript"/>
              </w:rPr>
              <m:t>, i</m:t>
            </m:r>
          </m:sub>
        </m:sSub>
      </m:oMath>
      <w:r w:rsidR="00500473">
        <w:t>)</w:t>
      </w:r>
      <w:r w:rsidRPr="006F035E">
        <w:t xml:space="preserve"> and CRV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CRV</m:t>
            </m:r>
          </m:sub>
        </m:sSub>
      </m:oMath>
      <w:r w:rsidRPr="006F035E">
        <w:t xml:space="preserve">) </w:t>
      </w:r>
      <w:r w:rsidR="00500473">
        <w:t>are</w:t>
      </w:r>
      <w:r w:rsidRPr="006F035E">
        <w:t xml:space="preserve"> calculated in accordance with equation (15) separ</w:t>
      </w:r>
      <w:r w:rsidRPr="00500473">
        <w:t>ately for each flow meter and flow rate. The results give the degree of equivalence (DoE) of each laboratory.</w:t>
      </w:r>
    </w:p>
    <w:tbl>
      <w:tblPr>
        <w:tblStyle w:val="Mkatabulky"/>
        <w:tblpPr w:leftFromText="141" w:rightFromText="141" w:vertAnchor="text" w:horzAnchor="page" w:tblpX="2341" w:tblpY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1593"/>
      </w:tblGrid>
      <w:tr w:rsidR="00A42DC5" w:rsidRPr="00500473" w14:paraId="14FF157E" w14:textId="77777777" w:rsidTr="0092040C">
        <w:tc>
          <w:tcPr>
            <w:tcW w:w="6771" w:type="dxa"/>
            <w:vAlign w:val="center"/>
          </w:tcPr>
          <w:p w14:paraId="5199A55F" w14:textId="7CC8B6E3" w:rsidR="00D127A6" w:rsidRPr="00500473" w:rsidRDefault="00000000" w:rsidP="0092040C">
            <w:pPr>
              <w:pStyle w:val="Bezmezer"/>
              <w:ind w:left="1590" w:hanging="1590"/>
              <w:rPr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ε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lab</m:t>
                    </m:r>
                    <m:r>
                      <w:rPr>
                        <w:rFonts w:ascii="Cambria Math" w:hAnsi="Cambria Math"/>
                        <w:lang w:val="en-US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ε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CRV</m:t>
                    </m:r>
                  </m:sub>
                </m:sSub>
              </m:oMath>
            </m:oMathPara>
          </w:p>
        </w:tc>
        <w:tc>
          <w:tcPr>
            <w:tcW w:w="1593" w:type="dxa"/>
            <w:vAlign w:val="center"/>
          </w:tcPr>
          <w:p w14:paraId="0E6A099A" w14:textId="77777777" w:rsidR="00D127A6" w:rsidRPr="00500473" w:rsidRDefault="00D127A6" w:rsidP="0092040C">
            <w:pPr>
              <w:pStyle w:val="Bezmezer"/>
              <w:ind w:left="353"/>
              <w:rPr>
                <w:lang w:val="en-US"/>
              </w:rPr>
            </w:pPr>
            <w:bookmarkStart w:id="37" w:name="_Ref138230824"/>
            <w:r w:rsidRPr="00500473">
              <w:rPr>
                <w:lang w:val="en-US"/>
              </w:rPr>
              <w:t>(</w:t>
            </w:r>
            <w:r w:rsidRPr="00500473">
              <w:rPr>
                <w:lang w:val="en-US"/>
              </w:rPr>
              <w:fldChar w:fldCharType="begin"/>
            </w:r>
            <w:r w:rsidRPr="00500473">
              <w:rPr>
                <w:lang w:val="en-US"/>
              </w:rPr>
              <w:instrText xml:space="preserve"> SEQ Equation \* ARABIC </w:instrText>
            </w:r>
            <w:r w:rsidRPr="00500473">
              <w:rPr>
                <w:lang w:val="en-US"/>
              </w:rPr>
              <w:fldChar w:fldCharType="separate"/>
            </w:r>
            <w:r w:rsidRPr="00500473">
              <w:rPr>
                <w:lang w:val="en-US"/>
              </w:rPr>
              <w:t>15</w:t>
            </w:r>
            <w:r w:rsidRPr="00500473">
              <w:rPr>
                <w:lang w:val="en-US"/>
              </w:rPr>
              <w:fldChar w:fldCharType="end"/>
            </w:r>
            <w:bookmarkEnd w:id="37"/>
            <w:r w:rsidRPr="00500473">
              <w:rPr>
                <w:lang w:val="en-US"/>
              </w:rPr>
              <w:t>)</w:t>
            </w:r>
          </w:p>
        </w:tc>
      </w:tr>
    </w:tbl>
    <w:p w14:paraId="621828AD" w14:textId="77777777" w:rsidR="0053019C" w:rsidRPr="00500473" w:rsidRDefault="0053019C" w:rsidP="00CE3D5C"/>
    <w:p w14:paraId="66293E12" w14:textId="7D2B8680" w:rsidR="00500473" w:rsidRPr="00500473" w:rsidRDefault="00122654" w:rsidP="0050047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D127A6" w:rsidRPr="00500473">
        <w:rPr>
          <w:rFonts w:asciiTheme="minorHAnsi" w:hAnsiTheme="minorHAnsi" w:cstheme="minorHAnsi"/>
        </w:rPr>
        <w:t>here</w:t>
      </w:r>
      <w:bookmarkStart w:id="38" w:name="_Hlk516825635"/>
      <w:r w:rsidR="00500473" w:rsidRPr="00500473">
        <w:rPr>
          <w:rFonts w:asciiTheme="minorHAnsi" w:hAnsiTheme="minorHAnsi" w:cstheme="minorHAnsi"/>
        </w:rPr>
        <w:t>:</w:t>
      </w:r>
    </w:p>
    <w:bookmarkStart w:id="39" w:name="_Hlk55476656"/>
    <w:p w14:paraId="2312066B" w14:textId="207EEA91" w:rsidR="00500473" w:rsidRDefault="00000000" w:rsidP="00500473">
      <w:pPr>
        <w:ind w:firstLine="708"/>
        <w:rPr>
          <w:rFonts w:asciiTheme="minorHAnsi" w:hAnsiTheme="minorHAnsi" w:cstheme="minorHAnsi"/>
        </w:rPr>
      </w:pP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d</m:t>
            </m:r>
          </m:e>
          <m:sub>
            <m:r>
              <w:rPr>
                <w:rFonts w:ascii="Cambria Math" w:hAnsi="Cambria Math" w:cstheme="minorHAnsi"/>
              </w:rPr>
              <m:t>i</m:t>
            </m:r>
          </m:sub>
        </m:sSub>
      </m:oMath>
      <w:r w:rsidR="00D127A6" w:rsidRPr="00500473">
        <w:rPr>
          <w:rFonts w:asciiTheme="minorHAnsi" w:hAnsiTheme="minorHAnsi" w:cstheme="minorHAnsi"/>
        </w:rPr>
        <w:tab/>
        <w:t xml:space="preserve">Degree of equivalence (DoE) for each laboratory </w:t>
      </w:r>
      <w:proofErr w:type="spellStart"/>
      <w:r w:rsidR="00D127A6" w:rsidRPr="00500473">
        <w:rPr>
          <w:rFonts w:asciiTheme="minorHAnsi" w:hAnsiTheme="minorHAnsi" w:cstheme="minorHAnsi"/>
        </w:rPr>
        <w:t>i</w:t>
      </w:r>
      <w:proofErr w:type="spellEnd"/>
      <w:r w:rsidR="00D127A6" w:rsidRPr="00500473">
        <w:rPr>
          <w:rFonts w:asciiTheme="minorHAnsi" w:hAnsiTheme="minorHAnsi" w:cstheme="minorHAnsi"/>
        </w:rPr>
        <w:t xml:space="preserve"> in %</w:t>
      </w:r>
      <w:bookmarkEnd w:id="39"/>
    </w:p>
    <w:p w14:paraId="06D847AA" w14:textId="636C6A81" w:rsidR="00500473" w:rsidRDefault="00000000" w:rsidP="00500473">
      <w:pPr>
        <w:ind w:firstLine="708"/>
        <w:rPr>
          <w:rFonts w:asciiTheme="minorHAnsi" w:hAnsiTheme="minorHAnsi" w:cstheme="minorHAnsi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lab</m:t>
            </m:r>
            <m: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i</m:t>
            </m:r>
          </m:sub>
        </m:sSub>
      </m:oMath>
      <w:r w:rsidR="00D127A6" w:rsidRPr="00500473">
        <w:rPr>
          <w:rFonts w:asciiTheme="minorHAnsi" w:hAnsiTheme="minorHAnsi" w:cstheme="minorHAnsi"/>
        </w:rPr>
        <w:tab/>
        <w:t xml:space="preserve">Reported meter error of laboratory </w:t>
      </w:r>
      <w:proofErr w:type="spellStart"/>
      <w:r w:rsidR="00D127A6" w:rsidRPr="00500473">
        <w:rPr>
          <w:rFonts w:asciiTheme="minorHAnsi" w:hAnsiTheme="minorHAnsi" w:cstheme="minorHAnsi"/>
        </w:rPr>
        <w:t>i</w:t>
      </w:r>
      <w:proofErr w:type="spellEnd"/>
      <w:r w:rsidR="00D127A6" w:rsidRPr="00500473">
        <w:rPr>
          <w:rFonts w:asciiTheme="minorHAnsi" w:hAnsiTheme="minorHAnsi" w:cstheme="minorHAnsi"/>
        </w:rPr>
        <w:t xml:space="preserve"> in %</w:t>
      </w:r>
      <w:bookmarkStart w:id="40" w:name="_Hlk55476773"/>
    </w:p>
    <w:p w14:paraId="6118217D" w14:textId="2EEF6B79" w:rsidR="00D127A6" w:rsidRPr="00500473" w:rsidRDefault="00000000" w:rsidP="00500473">
      <w:pPr>
        <w:ind w:firstLine="708"/>
        <w:rPr>
          <w:rFonts w:asciiTheme="minorHAnsi" w:hAnsiTheme="minorHAnsi" w:cstheme="minorHAnsi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CRV</m:t>
            </m:r>
          </m:sub>
        </m:sSub>
      </m:oMath>
      <w:r w:rsidR="00D127A6" w:rsidRPr="00500473">
        <w:rPr>
          <w:rFonts w:asciiTheme="minorHAnsi" w:hAnsiTheme="minorHAnsi" w:cstheme="minorHAnsi"/>
        </w:rPr>
        <w:tab/>
        <w:t>Comparison Reference value in %</w:t>
      </w:r>
      <w:bookmarkEnd w:id="40"/>
    </w:p>
    <w:bookmarkEnd w:id="38"/>
    <w:p w14:paraId="44541F68" w14:textId="645F983E" w:rsidR="00D127A6" w:rsidRPr="00500473" w:rsidRDefault="00D127A6" w:rsidP="00CE3D5C">
      <w:r w:rsidRPr="006F035E">
        <w:t xml:space="preserve">Based on </w:t>
      </w:r>
      <w:r w:rsidR="00122654">
        <w:t xml:space="preserve">the </w:t>
      </w:r>
      <w:r w:rsidRPr="006F035E">
        <w:t xml:space="preserve">differences </w:t>
      </w:r>
      <w:r w:rsidRPr="006F035E">
        <w:rPr>
          <w:i/>
        </w:rPr>
        <w:t>d</w:t>
      </w:r>
      <w:r w:rsidRPr="006F035E">
        <w:rPr>
          <w:i/>
          <w:vertAlign w:val="subscript"/>
        </w:rPr>
        <w:t>i</w:t>
      </w:r>
      <w:r w:rsidRPr="006F035E">
        <w:t>, the</w:t>
      </w:r>
      <w:r w:rsidRPr="00500473">
        <w:t xml:space="preserve"> normalized Degree of Equivalence </w:t>
      </w:r>
      <w:proofErr w:type="spellStart"/>
      <w:r w:rsidRPr="00500473">
        <w:rPr>
          <w:i/>
        </w:rPr>
        <w:t>E</w:t>
      </w:r>
      <w:r w:rsidRPr="00500473">
        <w:rPr>
          <w:vertAlign w:val="subscript"/>
        </w:rPr>
        <w:t>N,</w:t>
      </w:r>
      <w:r w:rsidRPr="00500473">
        <w:rPr>
          <w:i/>
          <w:iCs/>
          <w:vertAlign w:val="subscript"/>
        </w:rPr>
        <w:t>i</w:t>
      </w:r>
      <w:proofErr w:type="spellEnd"/>
      <w:r w:rsidRPr="00500473">
        <w:t xml:space="preserve"> </w:t>
      </w:r>
      <w:r w:rsidR="00122654">
        <w:t>is</w:t>
      </w:r>
      <w:r w:rsidRPr="00500473">
        <w:t xml:space="preserve"> calculated for each laboratory and flowrate with: </w:t>
      </w:r>
    </w:p>
    <w:tbl>
      <w:tblPr>
        <w:tblStyle w:val="Mkatabulky"/>
        <w:tblpPr w:leftFromText="141" w:rightFromText="141" w:vertAnchor="text" w:horzAnchor="page" w:tblpX="2341" w:tblpY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1451"/>
      </w:tblGrid>
      <w:tr w:rsidR="00A42DC5" w:rsidRPr="00500473" w14:paraId="16773DFF" w14:textId="77777777" w:rsidTr="0092040C">
        <w:tc>
          <w:tcPr>
            <w:tcW w:w="6771" w:type="dxa"/>
            <w:vAlign w:val="center"/>
          </w:tcPr>
          <w:p w14:paraId="35630386" w14:textId="77777777" w:rsidR="00D127A6" w:rsidRPr="00500473" w:rsidRDefault="00000000" w:rsidP="0092040C">
            <w:pPr>
              <w:pStyle w:val="Bezmezer"/>
              <w:ind w:left="1449"/>
              <w:rPr>
                <w:lang w:val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N,</m:t>
                    </m:r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lang w:val="en-US"/>
                          </w:rPr>
                          <m:t>U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lang w:val="en-US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d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den>
                    </m:f>
                  </m:e>
                </m:d>
              </m:oMath>
            </m:oMathPara>
          </w:p>
        </w:tc>
        <w:tc>
          <w:tcPr>
            <w:tcW w:w="1451" w:type="dxa"/>
            <w:vAlign w:val="center"/>
          </w:tcPr>
          <w:p w14:paraId="328AEB72" w14:textId="77777777" w:rsidR="00D127A6" w:rsidRPr="00500473" w:rsidRDefault="00D127A6" w:rsidP="0092040C">
            <w:pPr>
              <w:pStyle w:val="Bezmezer"/>
              <w:ind w:left="348"/>
              <w:rPr>
                <w:lang w:val="en-US"/>
              </w:rPr>
            </w:pPr>
            <w:r w:rsidRPr="00500473">
              <w:rPr>
                <w:lang w:val="en-US"/>
              </w:rPr>
              <w:t>(</w:t>
            </w:r>
            <w:r w:rsidRPr="00500473">
              <w:rPr>
                <w:lang w:val="en-US"/>
              </w:rPr>
              <w:fldChar w:fldCharType="begin"/>
            </w:r>
            <w:r w:rsidRPr="00500473">
              <w:rPr>
                <w:lang w:val="en-US"/>
              </w:rPr>
              <w:instrText xml:space="preserve"> SEQ Equation \* ARABIC </w:instrText>
            </w:r>
            <w:r w:rsidRPr="00500473">
              <w:rPr>
                <w:lang w:val="en-US"/>
              </w:rPr>
              <w:fldChar w:fldCharType="separate"/>
            </w:r>
            <w:r w:rsidRPr="00500473">
              <w:rPr>
                <w:lang w:val="en-US"/>
              </w:rPr>
              <w:t>16</w:t>
            </w:r>
            <w:r w:rsidRPr="00500473">
              <w:rPr>
                <w:lang w:val="en-US"/>
              </w:rPr>
              <w:fldChar w:fldCharType="end"/>
            </w:r>
            <w:r w:rsidRPr="00500473">
              <w:rPr>
                <w:lang w:val="en-US"/>
              </w:rPr>
              <w:t>)</w:t>
            </w:r>
          </w:p>
        </w:tc>
      </w:tr>
    </w:tbl>
    <w:p w14:paraId="6E458EE8" w14:textId="77777777" w:rsidR="0053019C" w:rsidRPr="00500473" w:rsidRDefault="0053019C" w:rsidP="00CE3D5C"/>
    <w:p w14:paraId="7D3C4710" w14:textId="77777777" w:rsidR="00500473" w:rsidRDefault="00500473" w:rsidP="00500473">
      <w:pPr>
        <w:pStyle w:val="Bezmezer"/>
        <w:tabs>
          <w:tab w:val="left" w:pos="1134"/>
        </w:tabs>
        <w:spacing w:before="240"/>
        <w:rPr>
          <w:lang w:val="en-US"/>
        </w:rPr>
      </w:pPr>
    </w:p>
    <w:p w14:paraId="0279D217" w14:textId="594EF3D4" w:rsidR="00D127A6" w:rsidRPr="00500473" w:rsidRDefault="00D127A6" w:rsidP="00500473">
      <w:pPr>
        <w:pStyle w:val="Bezmezer"/>
        <w:tabs>
          <w:tab w:val="left" w:pos="1134"/>
        </w:tabs>
        <w:spacing w:before="240"/>
        <w:rPr>
          <w:lang w:val="en-US"/>
        </w:rPr>
      </w:pPr>
      <w:r w:rsidRPr="00500473">
        <w:rPr>
          <w:lang w:val="en-US"/>
        </w:rPr>
        <w:t xml:space="preserve">where </w:t>
      </w:r>
      <w:bookmarkStart w:id="41" w:name="_Hlk55476783"/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  <w:lang w:val="en-US"/>
              </w:rPr>
              <m:t>N</m:t>
            </m:r>
            <m:r>
              <w:rPr>
                <w:rFonts w:ascii="Cambria Math" w:hAnsi="Cambria Math"/>
                <w:vertAlign w:val="subscript"/>
                <w:lang w:val="en-US"/>
              </w:rPr>
              <m:t>,i</m:t>
            </m:r>
          </m:sub>
        </m:sSub>
      </m:oMath>
      <w:r w:rsidR="00500473">
        <w:rPr>
          <w:iCs/>
          <w:lang w:val="en-US"/>
        </w:rPr>
        <w:t xml:space="preserve"> </w:t>
      </w:r>
      <w:r w:rsidR="00500473" w:rsidRPr="00500473">
        <w:rPr>
          <w:lang w:val="en-US"/>
        </w:rPr>
        <w:t>is the n</w:t>
      </w:r>
      <w:r w:rsidRPr="00500473">
        <w:rPr>
          <w:lang w:val="en-US"/>
        </w:rPr>
        <w:t>ormalized Degree of Equivalence</w:t>
      </w:r>
      <w:bookmarkEnd w:id="41"/>
      <w:r w:rsidR="00500473">
        <w:rPr>
          <w:lang w:val="en-US"/>
        </w:rPr>
        <w:t>.</w:t>
      </w:r>
    </w:p>
    <w:p w14:paraId="6FF91BC3" w14:textId="77777777" w:rsidR="0053019C" w:rsidRPr="006F035E" w:rsidRDefault="0053019C" w:rsidP="00CE3D5C"/>
    <w:p w14:paraId="11D613B2" w14:textId="0005FADA" w:rsidR="00D127A6" w:rsidRPr="006F035E" w:rsidRDefault="00D127A6" w:rsidP="00500473">
      <w:r w:rsidRPr="006F035E">
        <w:t>The ex</w:t>
      </w:r>
      <w:r w:rsidR="00122654">
        <w:t>panded u</w:t>
      </w:r>
      <w:r w:rsidRPr="006F035E">
        <w:t xml:space="preserve">ncertainty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  <w:vertAlign w:val="subscript"/>
              </w:rPr>
              <m:t>i</m:t>
            </m:r>
          </m:sub>
        </m:sSub>
      </m:oMath>
      <w:r w:rsidRPr="006F035E">
        <w:t xml:space="preserve"> </w:t>
      </w:r>
      <w:r w:rsidR="00500473">
        <w:t>is</w:t>
      </w:r>
      <w:r w:rsidRPr="006F035E">
        <w:t xml:space="preserve"> calculated with equation </w:t>
      </w:r>
      <w:r w:rsidRPr="006F035E">
        <w:fldChar w:fldCharType="begin"/>
      </w:r>
      <w:r w:rsidRPr="006F035E">
        <w:instrText xml:space="preserve"> REF _Ref134532148 \h </w:instrText>
      </w:r>
      <w:r w:rsidRPr="006F035E">
        <w:fldChar w:fldCharType="separate"/>
      </w:r>
      <w:r w:rsidRPr="006F035E">
        <w:rPr>
          <w:sz w:val="20"/>
          <w:szCs w:val="18"/>
        </w:rPr>
        <w:t>(17</w:t>
      </w:r>
      <w:r w:rsidRPr="006F035E">
        <w:fldChar w:fldCharType="end"/>
      </w:r>
      <w:r w:rsidRPr="006F035E">
        <w:t xml:space="preserve">) for laboratories with contribution to the </w:t>
      </w:r>
      <w:r w:rsidRPr="006F035E">
        <w:rPr>
          <w:i/>
          <w:iCs/>
        </w:rPr>
        <w:t>CRV</w:t>
      </w:r>
      <w:r w:rsidRPr="006F035E">
        <w:t xml:space="preserve">. Participating laboratories, which </w:t>
      </w:r>
      <w:r w:rsidR="00500473">
        <w:t>are</w:t>
      </w:r>
      <w:r w:rsidRPr="006F035E">
        <w:t xml:space="preserve"> excluded from the </w:t>
      </w:r>
      <w:r w:rsidRPr="00500473">
        <w:rPr>
          <w:i/>
          <w:iCs/>
        </w:rPr>
        <w:t>CRV</w:t>
      </w:r>
      <w:r w:rsidRPr="00500473">
        <w:t xml:space="preserve"> determination, do not have any interference. In that case the value of </w:t>
      </w:r>
      <w:r w:rsidRPr="00500473">
        <w:rPr>
          <w:i/>
          <w:iCs/>
        </w:rPr>
        <w:t>U</w:t>
      </w:r>
      <w:r w:rsidRPr="00500473">
        <w:t>(</w:t>
      </w:r>
      <w:r w:rsidRPr="00500473">
        <w:rPr>
          <w:i/>
        </w:rPr>
        <w:t>d</w:t>
      </w:r>
      <w:r w:rsidRPr="00500473">
        <w:rPr>
          <w:vertAlign w:val="subscript"/>
        </w:rPr>
        <w:t>i</w:t>
      </w:r>
      <w:r w:rsidRPr="00500473">
        <w:t xml:space="preserve">) </w:t>
      </w:r>
      <w:r w:rsidR="00500473" w:rsidRPr="00500473">
        <w:t>is</w:t>
      </w:r>
      <w:r w:rsidRPr="00500473">
        <w:t xml:space="preserve"> calculated according to equation </w:t>
      </w:r>
      <w:r w:rsidRPr="00500473">
        <w:fldChar w:fldCharType="begin"/>
      </w:r>
      <w:r w:rsidRPr="00500473">
        <w:instrText xml:space="preserve"> REF _Ref134532159 \h </w:instrText>
      </w:r>
      <w:r w:rsidR="00500473">
        <w:instrText xml:space="preserve"> \* MERGEFORMAT </w:instrText>
      </w:r>
      <w:r w:rsidRPr="00500473">
        <w:fldChar w:fldCharType="separate"/>
      </w:r>
      <w:r w:rsidRPr="00500473">
        <w:t>(18</w:t>
      </w:r>
      <w:r w:rsidRPr="00500473">
        <w:fldChar w:fldCharType="end"/>
      </w:r>
      <w:r w:rsidRPr="00500473">
        <w:t>).</w:t>
      </w:r>
    </w:p>
    <w:tbl>
      <w:tblPr>
        <w:tblStyle w:val="Mkatabulky"/>
        <w:tblpPr w:leftFromText="141" w:rightFromText="141" w:vertAnchor="text" w:horzAnchor="page" w:tblpX="3759" w:tblpY="51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701"/>
      </w:tblGrid>
      <w:tr w:rsidR="00A42DC5" w:rsidRPr="006F035E" w14:paraId="3A90AE1C" w14:textId="77777777" w:rsidTr="0092040C">
        <w:tc>
          <w:tcPr>
            <w:tcW w:w="5670" w:type="dxa"/>
            <w:vAlign w:val="center"/>
          </w:tcPr>
          <w:p w14:paraId="268B2288" w14:textId="77777777" w:rsidR="00D127A6" w:rsidRPr="006F035E" w:rsidRDefault="00D127A6" w:rsidP="0092040C">
            <w:pPr>
              <w:pStyle w:val="Bezmezer"/>
              <w:rPr>
                <w:sz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U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i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=2∙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ε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, lab 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CRV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-2∙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CRV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2</m:t>
                        </m:r>
                      </m:sup>
                    </m:sSubSup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=2∙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ε</m:t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, lab 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CRV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1701" w:type="dxa"/>
            <w:vAlign w:val="center"/>
          </w:tcPr>
          <w:p w14:paraId="42B87C98" w14:textId="77777777" w:rsidR="00D127A6" w:rsidRPr="006F035E" w:rsidRDefault="00D127A6" w:rsidP="0092040C">
            <w:pPr>
              <w:pStyle w:val="Bezmezer"/>
              <w:ind w:left="176"/>
              <w:rPr>
                <w:lang w:val="en-US"/>
              </w:rPr>
            </w:pPr>
            <w:bookmarkStart w:id="42" w:name="_Ref134532148"/>
            <w:r w:rsidRPr="006F035E">
              <w:rPr>
                <w:sz w:val="20"/>
                <w:szCs w:val="18"/>
                <w:lang w:val="en-US"/>
              </w:rPr>
              <w:t>(</w:t>
            </w:r>
            <w:r w:rsidRPr="006F035E">
              <w:rPr>
                <w:sz w:val="20"/>
                <w:szCs w:val="18"/>
                <w:lang w:val="en-US"/>
              </w:rPr>
              <w:fldChar w:fldCharType="begin"/>
            </w:r>
            <w:r w:rsidRPr="006F035E">
              <w:rPr>
                <w:sz w:val="20"/>
                <w:szCs w:val="18"/>
                <w:lang w:val="en-US"/>
              </w:rPr>
              <w:instrText xml:space="preserve"> SEQ Equation \* ARABIC </w:instrText>
            </w:r>
            <w:r w:rsidRPr="006F035E">
              <w:rPr>
                <w:sz w:val="20"/>
                <w:szCs w:val="18"/>
                <w:lang w:val="en-US"/>
              </w:rPr>
              <w:fldChar w:fldCharType="separate"/>
            </w:r>
            <w:r w:rsidRPr="006F035E">
              <w:rPr>
                <w:sz w:val="20"/>
                <w:szCs w:val="18"/>
                <w:lang w:val="en-US"/>
              </w:rPr>
              <w:t>17</w:t>
            </w:r>
            <w:r w:rsidRPr="006F035E">
              <w:rPr>
                <w:sz w:val="20"/>
                <w:szCs w:val="18"/>
                <w:lang w:val="en-US"/>
              </w:rPr>
              <w:fldChar w:fldCharType="end"/>
            </w:r>
            <w:bookmarkEnd w:id="42"/>
            <w:r w:rsidRPr="006F035E">
              <w:rPr>
                <w:sz w:val="20"/>
                <w:szCs w:val="18"/>
                <w:lang w:val="en-US"/>
              </w:rPr>
              <w:t>)</w:t>
            </w:r>
          </w:p>
        </w:tc>
      </w:tr>
    </w:tbl>
    <w:p w14:paraId="0B996483" w14:textId="77777777" w:rsidR="00D127A6" w:rsidRPr="006F035E" w:rsidRDefault="00D127A6" w:rsidP="00CE3D5C"/>
    <w:p w14:paraId="3A4DB03A" w14:textId="77777777" w:rsidR="00D127A6" w:rsidRPr="006F035E" w:rsidRDefault="00D127A6" w:rsidP="00CE3D5C"/>
    <w:tbl>
      <w:tblPr>
        <w:tblStyle w:val="Mkatabulky"/>
        <w:tblpPr w:leftFromText="141" w:rightFromText="141" w:vertAnchor="text" w:horzAnchor="page" w:tblpX="2341" w:tblpY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1734"/>
      </w:tblGrid>
      <w:tr w:rsidR="00A42DC5" w:rsidRPr="006F035E" w14:paraId="19B38EE2" w14:textId="77777777" w:rsidTr="0092040C">
        <w:tc>
          <w:tcPr>
            <w:tcW w:w="6771" w:type="dxa"/>
            <w:vAlign w:val="center"/>
          </w:tcPr>
          <w:p w14:paraId="3EE8A6D4" w14:textId="77777777" w:rsidR="00D127A6" w:rsidRPr="00D127A6" w:rsidRDefault="00D127A6" w:rsidP="00CE3D5C">
            <w:pPr>
              <w:rPr>
                <w:rFonts w:asciiTheme="minorHAnsi" w:hAnsiTheme="minorHAnsi"/>
                <w:sz w:val="24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lang w:eastAsia="en-US"/>
                  </w:rPr>
                  <w:lastRenderedPageBreak/>
                  <m:t>U</m:t>
                </m:r>
                <m:d>
                  <m:d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eastAsia="en-US"/>
                          </w:rPr>
                          <m:t>i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en-US"/>
                  </w:rPr>
                  <m:t>=2∙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en-US"/>
                          </w:rPr>
                          <m:t>ε</m:t>
                        </m:r>
                        <m:r>
                          <w:rPr>
                            <w:rFonts w:ascii="Cambria Math" w:hAnsi="Cambria Math"/>
                            <w:lang w:eastAsia="en-US"/>
                          </w:rPr>
                          <m:t>, lab 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/>
                        <w:lang w:eastAsia="en-US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en-US"/>
                          </w:rPr>
                          <m:t>CRV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en-US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1734" w:type="dxa"/>
            <w:vAlign w:val="center"/>
          </w:tcPr>
          <w:p w14:paraId="7E54E3C9" w14:textId="77777777" w:rsidR="00D127A6" w:rsidRPr="00D127A6" w:rsidRDefault="00D127A6" w:rsidP="00CE3D5C">
            <w:pPr>
              <w:rPr>
                <w:lang w:eastAsia="en-US"/>
              </w:rPr>
            </w:pPr>
            <w:bookmarkStart w:id="43" w:name="_Ref134532159"/>
            <w:r w:rsidRPr="00D127A6">
              <w:rPr>
                <w:lang w:eastAsia="en-US"/>
              </w:rPr>
              <w:t>(</w:t>
            </w:r>
            <w:r w:rsidRPr="00D127A6">
              <w:rPr>
                <w:lang w:eastAsia="en-US"/>
              </w:rPr>
              <w:fldChar w:fldCharType="begin"/>
            </w:r>
            <w:r w:rsidRPr="00D127A6">
              <w:rPr>
                <w:lang w:eastAsia="en-US"/>
              </w:rPr>
              <w:instrText xml:space="preserve"> SEQ Equation \* ARABIC </w:instrText>
            </w:r>
            <w:r w:rsidRPr="00D127A6">
              <w:rPr>
                <w:lang w:eastAsia="en-US"/>
              </w:rPr>
              <w:fldChar w:fldCharType="separate"/>
            </w:r>
            <w:r w:rsidRPr="00D127A6">
              <w:rPr>
                <w:lang w:eastAsia="en-US"/>
              </w:rPr>
              <w:t>18</w:t>
            </w:r>
            <w:r w:rsidRPr="00D127A6">
              <w:rPr>
                <w:lang w:eastAsia="en-US"/>
              </w:rPr>
              <w:fldChar w:fldCharType="end"/>
            </w:r>
            <w:bookmarkEnd w:id="43"/>
            <w:r w:rsidRPr="00D127A6">
              <w:rPr>
                <w:lang w:eastAsia="en-US"/>
              </w:rPr>
              <w:t>)</w:t>
            </w:r>
          </w:p>
        </w:tc>
      </w:tr>
    </w:tbl>
    <w:p w14:paraId="13AAEE22" w14:textId="77777777" w:rsidR="00D127A6" w:rsidRPr="006F035E" w:rsidRDefault="00D127A6" w:rsidP="00CE3D5C"/>
    <w:p w14:paraId="4C119845" w14:textId="77777777" w:rsidR="00D127A6" w:rsidRPr="006F035E" w:rsidRDefault="00D127A6" w:rsidP="00CE3D5C"/>
    <w:p w14:paraId="03FF4859" w14:textId="10EDB3F4" w:rsidR="00D127A6" w:rsidRPr="006F035E" w:rsidRDefault="00D127A6" w:rsidP="00CE3D5C">
      <w:pPr>
        <w:pStyle w:val="Nadpis2"/>
      </w:pPr>
      <w:bookmarkStart w:id="44" w:name="_Toc148528112"/>
      <w:bookmarkStart w:id="45" w:name="_Toc152253621"/>
      <w:bookmarkStart w:id="46" w:name="_Toc193212507"/>
      <w:r w:rsidRPr="006F035E">
        <w:t>Determination of calibration conclusiveness - Evaluation criteria B and D</w:t>
      </w:r>
      <w:bookmarkEnd w:id="44"/>
      <w:bookmarkEnd w:id="45"/>
      <w:bookmarkEnd w:id="46"/>
    </w:p>
    <w:p w14:paraId="0E559BA4" w14:textId="71069B8E" w:rsidR="00D127A6" w:rsidRPr="00CE3D5C" w:rsidRDefault="00A42DC5" w:rsidP="00CE3D5C">
      <w:r w:rsidRPr="006F035E">
        <w:t xml:space="preserve">To follow the latest developments in the field of comparison evaluation, an improved method of evaluation comparison results </w:t>
      </w:r>
      <w:r w:rsidR="00122654">
        <w:t>is</w:t>
      </w:r>
      <w:r w:rsidRPr="006F035E">
        <w:t xml:space="preserve"> further used. This method was discussed for a long time within the CCM Working Group for Fluid Flow (WGFF) and results were presented at Flomeko 2022 [6]. Criteria B and D, both apply a quality check of the comparison uncertainty to see if a result is conclusive before applying the |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6F035E">
        <w:t>| ≤ 1.00, respectively, |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6F035E">
        <w:t>| ≤ 1.20 criterion.</w:t>
      </w:r>
    </w:p>
    <w:p w14:paraId="2A2C1465" w14:textId="5ED089D9" w:rsidR="00A42DC5" w:rsidRPr="006F035E" w:rsidRDefault="00A42DC5" w:rsidP="00CE3D5C">
      <w:r w:rsidRPr="006F035E">
        <w:t xml:space="preserve">In detail, the conclusiveness of the calibration results </w:t>
      </w:r>
      <w:r w:rsidR="00122654">
        <w:t>is</w:t>
      </w:r>
      <w:r w:rsidRPr="006F035E">
        <w:t xml:space="preserve"> verified by the following two criteria, whereas Criterion B is more a recommendation and Criterion D is final decision value [3]: </w:t>
      </w:r>
    </w:p>
    <w:p w14:paraId="7817391C" w14:textId="77777777" w:rsidR="00A42DC5" w:rsidRPr="006F035E" w:rsidRDefault="00A42DC5" w:rsidP="00A42DC5">
      <w:pPr>
        <w:pStyle w:val="Bezmezer"/>
        <w:numPr>
          <w:ilvl w:val="0"/>
          <w:numId w:val="36"/>
        </w:numPr>
        <w:spacing w:after="120"/>
        <w:ind w:left="714" w:hanging="357"/>
        <w:jc w:val="both"/>
        <w:rPr>
          <w:lang w:val="en-US"/>
        </w:rPr>
      </w:pPr>
      <w:r w:rsidRPr="006F035E">
        <w:rPr>
          <w:lang w:val="en-US"/>
        </w:rPr>
        <w:t xml:space="preserve">Ratio of </w:t>
      </w:r>
      <w:r w:rsidRPr="006F035E">
        <w:rPr>
          <w:i/>
          <w:iCs/>
          <w:lang w:val="en-US"/>
        </w:rPr>
        <w:t>u</w:t>
      </w:r>
      <w:r w:rsidRPr="006F035E">
        <w:rPr>
          <w:vertAlign w:val="subscript"/>
          <w:lang w:val="en-US"/>
        </w:rPr>
        <w:t>comp</w:t>
      </w:r>
      <w:r w:rsidRPr="006F035E">
        <w:rPr>
          <w:lang w:val="en-US"/>
        </w:rPr>
        <w:t>/</w:t>
      </w:r>
      <w:r w:rsidRPr="006F035E">
        <w:rPr>
          <w:i/>
          <w:iCs/>
          <w:lang w:val="en-US"/>
        </w:rPr>
        <w:t>u</w:t>
      </w:r>
      <w:r w:rsidRPr="006F035E">
        <w:rPr>
          <w:vertAlign w:val="subscript"/>
          <w:lang w:val="en-US"/>
        </w:rPr>
        <w:t xml:space="preserve">lab </w:t>
      </w:r>
      <w:r w:rsidRPr="006F035E">
        <w:rPr>
          <w:i/>
          <w:iCs/>
          <w:vertAlign w:val="subscript"/>
          <w:lang w:val="en-US"/>
        </w:rPr>
        <w:t>i</w:t>
      </w:r>
      <w:r w:rsidRPr="006F035E">
        <w:rPr>
          <w:lang w:val="en-US"/>
        </w:rPr>
        <w:t xml:space="preserve">, also called evaluation criterion B, underlines a suitability of the transfer standard as well as a sufficient high quality of the calibrations, expressed as the repeatability. The WGFF proposed that </w:t>
      </w:r>
      <w:r w:rsidRPr="006F035E">
        <w:rPr>
          <w:i/>
          <w:iCs/>
          <w:lang w:val="en-US"/>
        </w:rPr>
        <w:t>u</w:t>
      </w:r>
      <w:r w:rsidRPr="006F035E">
        <w:rPr>
          <w:vertAlign w:val="subscript"/>
          <w:lang w:val="en-US"/>
        </w:rPr>
        <w:t>comp</w:t>
      </w:r>
      <w:r w:rsidRPr="006F035E">
        <w:rPr>
          <w:lang w:val="en-US"/>
        </w:rPr>
        <w:t>/</w:t>
      </w:r>
      <w:r w:rsidRPr="006F035E">
        <w:rPr>
          <w:i/>
          <w:iCs/>
          <w:lang w:val="en-US"/>
        </w:rPr>
        <w:t>u</w:t>
      </w:r>
      <w:r w:rsidRPr="006F035E">
        <w:rPr>
          <w:vertAlign w:val="subscript"/>
          <w:lang w:val="en-US"/>
        </w:rPr>
        <w:t xml:space="preserve">lab </w:t>
      </w:r>
      <w:r w:rsidRPr="006F035E">
        <w:rPr>
          <w:i/>
          <w:iCs/>
          <w:vertAlign w:val="subscript"/>
          <w:lang w:val="en-US"/>
        </w:rPr>
        <w:t xml:space="preserve">i </w:t>
      </w:r>
      <w:r w:rsidRPr="006F035E">
        <w:rPr>
          <w:lang w:val="en-US"/>
        </w:rPr>
        <w:t xml:space="preserve">≤ 2 for conclusive comparison results and to avoid a participant passing solely because the transfer standard uncertainty and repeatability are large [2, 3, 6,]. Following Equation </w:t>
      </w:r>
      <w:r w:rsidRPr="006F035E">
        <w:rPr>
          <w:lang w:val="en-US"/>
        </w:rPr>
        <w:fldChar w:fldCharType="begin"/>
      </w:r>
      <w:r w:rsidRPr="006F035E">
        <w:rPr>
          <w:lang w:val="en-US"/>
        </w:rPr>
        <w:instrText xml:space="preserve"> REF _Ref134532000 \h  \* MERGEFORMAT </w:instrText>
      </w:r>
      <w:r w:rsidRPr="006F035E">
        <w:rPr>
          <w:lang w:val="en-US"/>
        </w:rPr>
      </w:r>
      <w:r w:rsidRPr="006F035E">
        <w:rPr>
          <w:lang w:val="en-US"/>
        </w:rPr>
        <w:fldChar w:fldCharType="separate"/>
      </w:r>
      <w:r w:rsidRPr="006F035E">
        <w:rPr>
          <w:sz w:val="20"/>
          <w:szCs w:val="18"/>
          <w:lang w:val="en-US"/>
        </w:rPr>
        <w:t>(8</w:t>
      </w:r>
      <w:r w:rsidRPr="006F035E">
        <w:rPr>
          <w:lang w:val="en-US"/>
        </w:rPr>
        <w:fldChar w:fldCharType="end"/>
      </w:r>
      <w:r w:rsidRPr="006F035E">
        <w:rPr>
          <w:lang w:val="en-US"/>
        </w:rPr>
        <w:t xml:space="preserve">), </w:t>
      </w:r>
      <w:proofErr w:type="spellStart"/>
      <w:r w:rsidRPr="006F035E">
        <w:rPr>
          <w:i/>
          <w:iCs/>
          <w:lang w:val="en-US"/>
        </w:rPr>
        <w:t>u</w:t>
      </w:r>
      <w:r w:rsidRPr="006F035E">
        <w:rPr>
          <w:vertAlign w:val="subscript"/>
          <w:lang w:val="en-US"/>
        </w:rPr>
        <w:t>comp</w:t>
      </w:r>
      <w:proofErr w:type="spellEnd"/>
      <w:r w:rsidRPr="006F035E">
        <w:rPr>
          <w:lang w:val="en-US"/>
        </w:rPr>
        <w:t xml:space="preserve"> was calculated by using:</w:t>
      </w:r>
    </w:p>
    <w:tbl>
      <w:tblPr>
        <w:tblStyle w:val="Mkatabulky"/>
        <w:tblpPr w:leftFromText="141" w:rightFromText="141" w:vertAnchor="text" w:horzAnchor="page" w:tblpX="2341" w:tblpY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410"/>
      </w:tblGrid>
      <w:tr w:rsidR="00A42DC5" w:rsidRPr="006F035E" w14:paraId="13FEC343" w14:textId="77777777" w:rsidTr="0092040C">
        <w:tc>
          <w:tcPr>
            <w:tcW w:w="5954" w:type="dxa"/>
            <w:vAlign w:val="center"/>
          </w:tcPr>
          <w:p w14:paraId="0842241A" w14:textId="77777777" w:rsidR="00A42DC5" w:rsidRPr="00A42DC5" w:rsidRDefault="00000000" w:rsidP="00CE3D5C">
            <w:pPr>
              <w:rPr>
                <w:rFonts w:ascii="Times New Roman" w:hAnsi="Times New Roman"/>
                <w:sz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comp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Cs/>
                        <w:iCs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bCs/>
                            <w:iCs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TS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num>
                              <m:den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</m:rad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410" w:type="dxa"/>
            <w:vAlign w:val="center"/>
          </w:tcPr>
          <w:p w14:paraId="6C6FB1A4" w14:textId="77777777" w:rsidR="00A42DC5" w:rsidRPr="00A42DC5" w:rsidRDefault="00A42DC5" w:rsidP="00CE3D5C">
            <w:pPr>
              <w:rPr>
                <w:lang w:eastAsia="de-DE"/>
              </w:rPr>
            </w:pPr>
            <w:r w:rsidRPr="00A42DC5">
              <w:rPr>
                <w:lang w:eastAsia="de-DE"/>
              </w:rPr>
              <w:t>(</w:t>
            </w:r>
            <w:r w:rsidRPr="00A42DC5">
              <w:rPr>
                <w:lang w:eastAsia="de-DE"/>
              </w:rPr>
              <w:fldChar w:fldCharType="begin"/>
            </w:r>
            <w:r w:rsidRPr="00A42DC5">
              <w:rPr>
                <w:lang w:eastAsia="de-DE"/>
              </w:rPr>
              <w:instrText xml:space="preserve"> SEQ Equation \* ARABIC </w:instrText>
            </w:r>
            <w:r w:rsidRPr="00A42DC5">
              <w:rPr>
                <w:lang w:eastAsia="de-DE"/>
              </w:rPr>
              <w:fldChar w:fldCharType="separate"/>
            </w:r>
            <w:r w:rsidRPr="00A42DC5">
              <w:rPr>
                <w:lang w:eastAsia="de-DE"/>
              </w:rPr>
              <w:t>19</w:t>
            </w:r>
            <w:r w:rsidRPr="00A42DC5">
              <w:rPr>
                <w:lang w:eastAsia="de-DE"/>
              </w:rPr>
              <w:fldChar w:fldCharType="end"/>
            </w:r>
            <w:r w:rsidRPr="00A42DC5">
              <w:rPr>
                <w:lang w:eastAsia="de-DE"/>
              </w:rPr>
              <w:t>)</w:t>
            </w:r>
          </w:p>
        </w:tc>
      </w:tr>
    </w:tbl>
    <w:p w14:paraId="1D6CBEDC" w14:textId="77777777" w:rsidR="00D127A6" w:rsidRPr="006F035E" w:rsidRDefault="00D127A6" w:rsidP="00CE3D5C"/>
    <w:p w14:paraId="67CA9B91" w14:textId="77777777" w:rsidR="00D127A6" w:rsidRPr="006F035E" w:rsidRDefault="00D127A6" w:rsidP="00CE3D5C"/>
    <w:p w14:paraId="77570359" w14:textId="1D68D79C" w:rsidR="00A42DC5" w:rsidRPr="00CE3D5C" w:rsidRDefault="00A42DC5" w:rsidP="00CE3D5C">
      <w:pPr>
        <w:pStyle w:val="Odstavecseseznamem"/>
        <w:numPr>
          <w:ilvl w:val="0"/>
          <w:numId w:val="36"/>
        </w:numPr>
        <w:rPr>
          <w:lang w:eastAsia="en-US"/>
        </w:rPr>
      </w:pPr>
      <w:r w:rsidRPr="00A42DC5">
        <w:rPr>
          <w:lang w:eastAsia="en-US"/>
        </w:rPr>
        <w:t>The second additional evaluation criterion D was introduced by [2] as a probability-based measure for evaluating whether a comparison result is conclusive or not. Here, laboratory results are evaluated by the degree to which two Gaussian probability density functions (PDFs) overlap, one representing the comparison reference value N(</w:t>
      </w:r>
      <w:r w:rsidRPr="00CE3D5C">
        <w:rPr>
          <w:rFonts w:ascii="Symbol" w:hAnsi="Symbol"/>
          <w:i/>
          <w:iCs/>
          <w:lang w:eastAsia="en-US"/>
        </w:rPr>
        <w:t>e</w:t>
      </w:r>
      <w:r w:rsidRPr="00CE3D5C">
        <w:rPr>
          <w:vertAlign w:val="subscript"/>
          <w:lang w:eastAsia="en-US"/>
        </w:rPr>
        <w:t>CRV</w:t>
      </w:r>
      <w:r w:rsidRPr="00A42DC5">
        <w:rPr>
          <w:lang w:eastAsia="en-US"/>
        </w:rPr>
        <w:t>, u</w:t>
      </w:r>
      <w:r w:rsidRPr="00CE3D5C">
        <w:rPr>
          <w:rFonts w:ascii="Symbol" w:hAnsi="Symbol"/>
          <w:vertAlign w:val="subscript"/>
          <w:lang w:eastAsia="en-US"/>
        </w:rPr>
        <w:t>e</w:t>
      </w:r>
      <w:r w:rsidRPr="00CE3D5C">
        <w:rPr>
          <w:vertAlign w:val="subscript"/>
          <w:lang w:eastAsia="en-US"/>
        </w:rPr>
        <w:t xml:space="preserve"> CRV</w:t>
      </w:r>
      <w:r w:rsidRPr="00A42DC5">
        <w:rPr>
          <w:lang w:eastAsia="en-US"/>
        </w:rPr>
        <w:t>) and the other representing the participant’s reported value for the measurand N(</w:t>
      </w:r>
      <w:r w:rsidRPr="00CE3D5C">
        <w:rPr>
          <w:rFonts w:ascii="Symbol" w:hAnsi="Symbol"/>
          <w:i/>
          <w:iCs/>
          <w:lang w:eastAsia="en-US"/>
        </w:rPr>
        <w:t>e</w:t>
      </w:r>
      <w:r w:rsidRPr="00CE3D5C">
        <w:rPr>
          <w:vertAlign w:val="subscript"/>
          <w:lang w:eastAsia="en-US"/>
        </w:rPr>
        <w:t xml:space="preserve"> </w:t>
      </w:r>
      <w:r w:rsidRPr="00CE3D5C">
        <w:rPr>
          <w:i/>
          <w:iCs/>
          <w:vertAlign w:val="subscript"/>
          <w:lang w:eastAsia="en-US"/>
        </w:rPr>
        <w:t xml:space="preserve">I </w:t>
      </w:r>
      <w:r w:rsidRPr="00A42DC5">
        <w:rPr>
          <w:lang w:eastAsia="en-US"/>
        </w:rPr>
        <w:t xml:space="preserve">, </w:t>
      </w:r>
      <w:r w:rsidRPr="00CE3D5C">
        <w:rPr>
          <w:i/>
          <w:iCs/>
          <w:lang w:eastAsia="en-US"/>
        </w:rPr>
        <w:t>u</w:t>
      </w:r>
      <w:r w:rsidRPr="00CE3D5C">
        <w:rPr>
          <w:vertAlign w:val="subscript"/>
          <w:lang w:eastAsia="en-US"/>
        </w:rPr>
        <w:t xml:space="preserve">lab </w:t>
      </w:r>
      <w:r w:rsidRPr="00CE3D5C">
        <w:rPr>
          <w:i/>
          <w:iCs/>
          <w:vertAlign w:val="subscript"/>
          <w:lang w:eastAsia="en-US"/>
        </w:rPr>
        <w:t>i</w:t>
      </w:r>
      <w:r w:rsidRPr="00A42DC5">
        <w:rPr>
          <w:lang w:eastAsia="en-US"/>
        </w:rPr>
        <w:t xml:space="preserve">). The degree of overlap between both PDFs is assessed by a probability content </w:t>
      </w:r>
      <w:r w:rsidRPr="00CE3D5C">
        <w:rPr>
          <w:i/>
          <w:iCs/>
          <w:lang w:eastAsia="en-US"/>
        </w:rPr>
        <w:t>P</w:t>
      </w:r>
      <w:r w:rsidRPr="00CE3D5C">
        <w:rPr>
          <w:i/>
          <w:iCs/>
          <w:vertAlign w:val="subscript"/>
          <w:lang w:eastAsia="en-US"/>
        </w:rPr>
        <w:t>i</w:t>
      </w:r>
      <w:r w:rsidRPr="00A42DC5">
        <w:rPr>
          <w:lang w:eastAsia="en-US"/>
        </w:rPr>
        <w:t xml:space="preserve"> of the CRV PDF bound by the participant’s 2.5</w:t>
      </w:r>
      <w:r w:rsidRPr="00CE3D5C">
        <w:rPr>
          <w:vertAlign w:val="superscript"/>
          <w:lang w:eastAsia="en-US"/>
        </w:rPr>
        <w:t>th</w:t>
      </w:r>
      <w:r w:rsidRPr="00A42DC5">
        <w:rPr>
          <w:lang w:eastAsia="en-US"/>
        </w:rPr>
        <w:t xml:space="preserve"> and 97.5</w:t>
      </w:r>
      <w:r w:rsidRPr="00CE3D5C">
        <w:rPr>
          <w:vertAlign w:val="superscript"/>
          <w:lang w:eastAsia="en-US"/>
        </w:rPr>
        <w:t>th</w:t>
      </w:r>
      <w:r w:rsidRPr="00A42DC5">
        <w:rPr>
          <w:lang w:eastAsia="en-US"/>
        </w:rPr>
        <w:t xml:space="preserve"> percentile confidence limits for the uncertainty of the participant’s flow reference. The calculation of the probability </w:t>
      </w:r>
      <w:r w:rsidRPr="00CE3D5C">
        <w:rPr>
          <w:i/>
          <w:iCs/>
          <w:lang w:eastAsia="en-US"/>
        </w:rPr>
        <w:t>P</w:t>
      </w:r>
      <w:r w:rsidRPr="00CE3D5C">
        <w:rPr>
          <w:i/>
          <w:iCs/>
          <w:vertAlign w:val="subscript"/>
          <w:lang w:eastAsia="en-US"/>
        </w:rPr>
        <w:t>i</w:t>
      </w:r>
      <w:r w:rsidRPr="00A42DC5">
        <w:rPr>
          <w:lang w:eastAsia="en-US"/>
        </w:rPr>
        <w:t xml:space="preserve"> is given in [2] along with a “threshold” value of </w:t>
      </w:r>
      <w:r w:rsidRPr="00CE3D5C">
        <w:rPr>
          <w:i/>
          <w:iCs/>
          <w:lang w:eastAsia="en-US"/>
        </w:rPr>
        <w:t>P</w:t>
      </w:r>
      <w:r w:rsidRPr="00CE3D5C">
        <w:rPr>
          <w:i/>
          <w:iCs/>
          <w:vertAlign w:val="subscript"/>
          <w:lang w:eastAsia="en-US"/>
        </w:rPr>
        <w:t>th</w:t>
      </w:r>
      <w:r w:rsidRPr="00A42DC5">
        <w:rPr>
          <w:lang w:eastAsia="en-US"/>
        </w:rPr>
        <w:t xml:space="preserve"> = 0.35. The value of </w:t>
      </w:r>
      <w:r w:rsidRPr="00CE3D5C">
        <w:rPr>
          <w:i/>
          <w:iCs/>
          <w:lang w:eastAsia="en-US"/>
        </w:rPr>
        <w:t>P</w:t>
      </w:r>
      <w:r w:rsidRPr="00CE3D5C">
        <w:rPr>
          <w:i/>
          <w:iCs/>
          <w:vertAlign w:val="subscript"/>
          <w:lang w:eastAsia="en-US"/>
        </w:rPr>
        <w:t>th</w:t>
      </w:r>
      <w:r w:rsidRPr="00A42DC5">
        <w:rPr>
          <w:lang w:eastAsia="en-US"/>
        </w:rPr>
        <w:t xml:space="preserve"> determines the minimum required overlapping area between the PDFs of </w:t>
      </w:r>
      <w:r w:rsidRPr="00CE3D5C">
        <w:rPr>
          <w:rFonts w:ascii="Symbol" w:hAnsi="Symbol"/>
          <w:i/>
          <w:iCs/>
          <w:lang w:eastAsia="en-US"/>
        </w:rPr>
        <w:t>e</w:t>
      </w:r>
      <w:r w:rsidRPr="00CE3D5C">
        <w:rPr>
          <w:vertAlign w:val="subscript"/>
          <w:lang w:eastAsia="en-US"/>
        </w:rPr>
        <w:t>CRV</w:t>
      </w:r>
      <w:r w:rsidRPr="00A42DC5">
        <w:rPr>
          <w:lang w:eastAsia="en-US"/>
        </w:rPr>
        <w:t xml:space="preserve"> and </w:t>
      </w:r>
      <w:r w:rsidRPr="00CE3D5C">
        <w:rPr>
          <w:rFonts w:ascii="Symbol" w:hAnsi="Symbol"/>
          <w:i/>
          <w:iCs/>
          <w:lang w:eastAsia="en-US"/>
        </w:rPr>
        <w:t xml:space="preserve">e </w:t>
      </w:r>
      <w:r w:rsidRPr="00CE3D5C">
        <w:rPr>
          <w:i/>
          <w:iCs/>
          <w:vertAlign w:val="subscript"/>
          <w:lang w:eastAsia="en-US"/>
        </w:rPr>
        <w:t>i</w:t>
      </w:r>
      <w:r w:rsidRPr="00A42DC5">
        <w:rPr>
          <w:lang w:eastAsia="en-US"/>
        </w:rPr>
        <w:t xml:space="preserve"> for conclusive calibration results.</w:t>
      </w:r>
    </w:p>
    <w:p w14:paraId="5F9CED17" w14:textId="0EB67B3D" w:rsidR="00A42DC5" w:rsidRPr="006F035E" w:rsidRDefault="00A42DC5" w:rsidP="00CE3D5C">
      <w:pPr>
        <w:pStyle w:val="Nadpis2"/>
        <w:rPr>
          <w:lang w:eastAsia="en-US"/>
        </w:rPr>
      </w:pPr>
      <w:bookmarkStart w:id="47" w:name="_Toc148528113"/>
      <w:bookmarkStart w:id="48" w:name="_Toc152253622"/>
      <w:bookmarkStart w:id="49" w:name="_Toc193212508"/>
      <w:r w:rsidRPr="006F035E">
        <w:rPr>
          <w:lang w:eastAsia="en-US"/>
        </w:rPr>
        <w:t>Final evaluation procedure of comparison data for decision table</w:t>
      </w:r>
      <w:bookmarkEnd w:id="47"/>
      <w:bookmarkEnd w:id="48"/>
      <w:bookmarkEnd w:id="49"/>
    </w:p>
    <w:p w14:paraId="1B6001E0" w14:textId="77777777" w:rsidR="00A42DC5" w:rsidRPr="00A42DC5" w:rsidRDefault="00A42DC5" w:rsidP="00CE3D5C">
      <w:pPr>
        <w:rPr>
          <w:lang w:eastAsia="en-US"/>
        </w:rPr>
      </w:pPr>
      <w:r w:rsidRPr="00A42DC5">
        <w:rPr>
          <w:lang w:eastAsia="en-US"/>
        </w:rPr>
        <w:t>For final data evaluation and decision table the following criteria were used - based on [2], [3], [4] and [5], [7]:</w:t>
      </w:r>
    </w:p>
    <w:p w14:paraId="4D349C01" w14:textId="77777777" w:rsidR="00A42DC5" w:rsidRPr="00A42DC5" w:rsidRDefault="00A42DC5" w:rsidP="00CE3D5C">
      <w:pPr>
        <w:pStyle w:val="Odstavecseseznamem"/>
        <w:numPr>
          <w:ilvl w:val="0"/>
          <w:numId w:val="37"/>
        </w:numPr>
        <w:rPr>
          <w:lang w:eastAsia="en-US"/>
        </w:rPr>
      </w:pPr>
      <w:r w:rsidRPr="00CE3D5C">
        <w:rPr>
          <w:b/>
          <w:bCs/>
          <w:lang w:eastAsia="en-US"/>
        </w:rPr>
        <w:t xml:space="preserve">Chi-squared test - </w:t>
      </w:r>
      <w:r w:rsidRPr="00A42DC5">
        <w:rPr>
          <w:lang w:eastAsia="en-US"/>
        </w:rPr>
        <w:t xml:space="preserve">Data evaluation and consistency check, based on Equation </w:t>
      </w:r>
      <w:r w:rsidRPr="00A42DC5">
        <w:rPr>
          <w:lang w:eastAsia="en-US"/>
        </w:rPr>
        <w:fldChar w:fldCharType="begin"/>
      </w:r>
      <w:r w:rsidRPr="00A42DC5">
        <w:rPr>
          <w:lang w:eastAsia="en-US"/>
        </w:rPr>
        <w:instrText xml:space="preserve"> REF _Ref134539523 \h  \* MERGEFORMAT </w:instrText>
      </w:r>
      <w:r w:rsidRPr="00A42DC5">
        <w:rPr>
          <w:lang w:eastAsia="en-US"/>
        </w:rPr>
      </w:r>
      <w:r w:rsidRPr="00A42DC5">
        <w:rPr>
          <w:lang w:eastAsia="en-US"/>
        </w:rPr>
        <w:fldChar w:fldCharType="separate"/>
      </w:r>
      <w:r w:rsidRPr="00A42DC5">
        <w:rPr>
          <w:lang w:eastAsia="en-US"/>
        </w:rPr>
        <w:t>(12</w:t>
      </w:r>
      <w:r w:rsidRPr="00A42DC5">
        <w:rPr>
          <w:lang w:eastAsia="en-US"/>
        </w:rPr>
        <w:fldChar w:fldCharType="end"/>
      </w:r>
      <w:r w:rsidRPr="00A42DC5">
        <w:rPr>
          <w:lang w:eastAsia="en-US"/>
        </w:rPr>
        <w:t xml:space="preserve">) to Equation </w:t>
      </w:r>
      <w:r w:rsidRPr="00A42DC5">
        <w:rPr>
          <w:lang w:eastAsia="en-US"/>
        </w:rPr>
        <w:fldChar w:fldCharType="begin"/>
      </w:r>
      <w:r w:rsidRPr="00A42DC5">
        <w:rPr>
          <w:lang w:eastAsia="en-US"/>
        </w:rPr>
        <w:instrText xml:space="preserve"> REF _Ref134537229 \h  \* MERGEFORMAT </w:instrText>
      </w:r>
      <w:r w:rsidRPr="00A42DC5">
        <w:rPr>
          <w:lang w:eastAsia="en-US"/>
        </w:rPr>
      </w:r>
      <w:r w:rsidRPr="00A42DC5">
        <w:rPr>
          <w:lang w:eastAsia="en-US"/>
        </w:rPr>
        <w:fldChar w:fldCharType="separate"/>
      </w:r>
      <w:r w:rsidRPr="00A42DC5">
        <w:rPr>
          <w:lang w:eastAsia="en-US"/>
        </w:rPr>
        <w:t>(14</w:t>
      </w:r>
      <w:r w:rsidRPr="00A42DC5">
        <w:rPr>
          <w:lang w:eastAsia="en-US"/>
        </w:rPr>
        <w:fldChar w:fldCharType="end"/>
      </w:r>
      <w:r w:rsidRPr="00A42DC5">
        <w:rPr>
          <w:lang w:eastAsia="en-US"/>
        </w:rPr>
        <w:t>)</w:t>
      </w:r>
    </w:p>
    <w:p w14:paraId="7651C3F4" w14:textId="77777777" w:rsidR="00A42DC5" w:rsidRPr="00A42DC5" w:rsidRDefault="00A42DC5" w:rsidP="00CE3D5C">
      <w:pPr>
        <w:pStyle w:val="Odstavecseseznamem"/>
        <w:numPr>
          <w:ilvl w:val="0"/>
          <w:numId w:val="37"/>
        </w:numPr>
        <w:rPr>
          <w:lang w:eastAsia="en-US"/>
        </w:rPr>
      </w:pPr>
      <w:r w:rsidRPr="00A42DC5">
        <w:rPr>
          <w:lang w:eastAsia="en-US"/>
        </w:rPr>
        <w:t xml:space="preserve">The participant passes the comparison if </w:t>
      </w:r>
      <w:r w:rsidRPr="00CE3D5C">
        <w:rPr>
          <w:i/>
          <w:lang w:eastAsia="en-US"/>
        </w:rPr>
        <w:t>E</w:t>
      </w:r>
      <w:r w:rsidRPr="00CE3D5C">
        <w:rPr>
          <w:vertAlign w:val="subscript"/>
          <w:lang w:eastAsia="en-US"/>
        </w:rPr>
        <w:t>N,</w:t>
      </w:r>
      <w:r w:rsidRPr="00CE3D5C">
        <w:rPr>
          <w:i/>
          <w:iCs/>
          <w:vertAlign w:val="subscript"/>
          <w:lang w:eastAsia="en-US"/>
        </w:rPr>
        <w:t>i</w:t>
      </w:r>
      <w:r w:rsidRPr="00A42DC5">
        <w:rPr>
          <w:lang w:eastAsia="en-US"/>
        </w:rPr>
        <w:t xml:space="preserve"> </w:t>
      </w:r>
      <m:oMath>
        <m:r>
          <w:rPr>
            <w:rFonts w:ascii="Cambria Math" w:hAnsi="Cambria Math"/>
            <w:lang w:eastAsia="en-US"/>
          </w:rPr>
          <m:t>≤</m:t>
        </m:r>
      </m:oMath>
      <w:r w:rsidRPr="00A42DC5">
        <w:rPr>
          <w:lang w:eastAsia="en-US"/>
        </w:rPr>
        <w:t xml:space="preserve"> 1.0 and </w:t>
      </w:r>
      <w:r w:rsidRPr="00CE3D5C">
        <w:rPr>
          <w:i/>
          <w:iCs/>
          <w:lang w:eastAsia="en-US"/>
        </w:rPr>
        <w:t>P</w:t>
      </w:r>
      <w:r w:rsidRPr="00CE3D5C">
        <w:rPr>
          <w:i/>
          <w:iCs/>
          <w:vertAlign w:val="subscript"/>
          <w:lang w:eastAsia="en-US"/>
        </w:rPr>
        <w:t>th</w:t>
      </w:r>
      <w:r w:rsidRPr="00A42DC5">
        <w:rPr>
          <w:lang w:eastAsia="en-US"/>
        </w:rPr>
        <w:t xml:space="preserve"> </w:t>
      </w:r>
      <w:r w:rsidRPr="00CE3D5C">
        <w:rPr>
          <w:rFonts w:cstheme="minorHAnsi"/>
          <w:lang w:eastAsia="en-US"/>
        </w:rPr>
        <w:t>≥</w:t>
      </w:r>
      <w:r w:rsidRPr="00A42DC5">
        <w:rPr>
          <w:lang w:eastAsia="en-US"/>
        </w:rPr>
        <w:t xml:space="preserve"> 0.35</w:t>
      </w:r>
    </w:p>
    <w:p w14:paraId="1414451F" w14:textId="34975641" w:rsidR="00A42DC5" w:rsidRPr="00A42DC5" w:rsidRDefault="00A42DC5" w:rsidP="00CE3D5C">
      <w:pPr>
        <w:rPr>
          <w:lang w:eastAsia="en-US"/>
        </w:rPr>
      </w:pPr>
      <w:r w:rsidRPr="00A42DC5">
        <w:rPr>
          <w:lang w:eastAsia="en-US"/>
        </w:rPr>
        <w:t xml:space="preserve">The results of participating laboratory </w:t>
      </w:r>
      <w:r w:rsidRPr="00A42DC5">
        <w:rPr>
          <w:i/>
          <w:iCs/>
          <w:lang w:eastAsia="en-US"/>
        </w:rPr>
        <w:t>i</w:t>
      </w:r>
      <w:r w:rsidRPr="00A42DC5">
        <w:rPr>
          <w:lang w:eastAsia="en-US"/>
        </w:rPr>
        <w:t xml:space="preserve"> agrees within 95 % confidence level uncertainty expectations with the </w:t>
      </w:r>
      <w:r w:rsidRPr="00A42DC5">
        <w:rPr>
          <w:i/>
          <w:iCs/>
          <w:lang w:eastAsia="en-US"/>
        </w:rPr>
        <w:t>CRV</w:t>
      </w:r>
      <w:r w:rsidRPr="00A42DC5">
        <w:rPr>
          <w:lang w:eastAsia="en-US"/>
        </w:rPr>
        <w:t xml:space="preserve"> (</w:t>
      </w:r>
      <w:r w:rsidRPr="00A42DC5">
        <w:rPr>
          <w:i/>
          <w:iCs/>
          <w:lang w:eastAsia="en-US"/>
        </w:rPr>
        <w:t>k</w:t>
      </w:r>
      <w:r w:rsidRPr="00A42DC5">
        <w:rPr>
          <w:lang w:eastAsia="en-US"/>
        </w:rPr>
        <w:t xml:space="preserve"> = 2). The calibrations </w:t>
      </w:r>
      <w:r w:rsidR="00122654">
        <w:rPr>
          <w:lang w:eastAsia="en-US"/>
        </w:rPr>
        <w:t>are</w:t>
      </w:r>
      <w:r w:rsidRPr="00A42DC5">
        <w:rPr>
          <w:lang w:eastAsia="en-US"/>
        </w:rPr>
        <w:t xml:space="preserve"> conclusive.</w:t>
      </w:r>
    </w:p>
    <w:p w14:paraId="68AC68C3" w14:textId="77777777" w:rsidR="00A42DC5" w:rsidRPr="00A42DC5" w:rsidRDefault="00A42DC5" w:rsidP="00CE3D5C">
      <w:pPr>
        <w:pStyle w:val="Odstavecseseznamem"/>
        <w:numPr>
          <w:ilvl w:val="0"/>
          <w:numId w:val="37"/>
        </w:numPr>
        <w:rPr>
          <w:lang w:eastAsia="en-US"/>
        </w:rPr>
      </w:pPr>
      <w:r w:rsidRPr="00A42DC5">
        <w:rPr>
          <w:lang w:eastAsia="en-US"/>
        </w:rPr>
        <w:lastRenderedPageBreak/>
        <w:t xml:space="preserve">The participant passes the comparison at “warning level” if 1.0 &lt; </w:t>
      </w:r>
      <w:r w:rsidRPr="00CE3D5C">
        <w:rPr>
          <w:i/>
          <w:lang w:eastAsia="en-US"/>
        </w:rPr>
        <w:t>E</w:t>
      </w:r>
      <w:r w:rsidRPr="00CE3D5C">
        <w:rPr>
          <w:vertAlign w:val="subscript"/>
          <w:lang w:eastAsia="en-US"/>
        </w:rPr>
        <w:t>N,</w:t>
      </w:r>
      <w:r w:rsidRPr="00CE3D5C">
        <w:rPr>
          <w:i/>
          <w:iCs/>
          <w:vertAlign w:val="subscript"/>
          <w:lang w:eastAsia="en-US"/>
        </w:rPr>
        <w:t>i</w:t>
      </w:r>
      <w:r w:rsidRPr="00A42DC5">
        <w:rPr>
          <w:lang w:eastAsia="en-US"/>
        </w:rPr>
        <w:t xml:space="preserve"> </w:t>
      </w:r>
      <m:oMath>
        <m:r>
          <w:rPr>
            <w:rFonts w:ascii="Cambria Math" w:hAnsi="Cambria Math"/>
            <w:lang w:eastAsia="en-US"/>
          </w:rPr>
          <m:t>≤</m:t>
        </m:r>
      </m:oMath>
      <w:r w:rsidRPr="00A42DC5">
        <w:rPr>
          <w:lang w:eastAsia="en-US"/>
        </w:rPr>
        <w:t xml:space="preserve"> 1.2 and </w:t>
      </w:r>
      <w:r w:rsidRPr="00CE3D5C">
        <w:rPr>
          <w:i/>
          <w:iCs/>
          <w:lang w:eastAsia="en-US"/>
        </w:rPr>
        <w:t>P</w:t>
      </w:r>
      <w:r w:rsidRPr="00CE3D5C">
        <w:rPr>
          <w:i/>
          <w:iCs/>
          <w:vertAlign w:val="subscript"/>
          <w:lang w:eastAsia="en-US"/>
        </w:rPr>
        <w:t>th</w:t>
      </w:r>
      <w:r w:rsidRPr="00A42DC5">
        <w:rPr>
          <w:lang w:eastAsia="en-US"/>
        </w:rPr>
        <w:t xml:space="preserve"> </w:t>
      </w:r>
      <w:r w:rsidRPr="00CE3D5C">
        <w:rPr>
          <w:rFonts w:cstheme="minorHAnsi"/>
          <w:lang w:eastAsia="en-US"/>
        </w:rPr>
        <w:t>≥</w:t>
      </w:r>
      <w:r w:rsidRPr="00A42DC5">
        <w:rPr>
          <w:lang w:eastAsia="en-US"/>
        </w:rPr>
        <w:t xml:space="preserve"> 0.35</w:t>
      </w:r>
    </w:p>
    <w:p w14:paraId="393BEB04" w14:textId="77777777" w:rsidR="00A42DC5" w:rsidRPr="00A42DC5" w:rsidRDefault="00A42DC5" w:rsidP="00CE3D5C">
      <w:pPr>
        <w:pStyle w:val="Odstavecseseznamem"/>
        <w:numPr>
          <w:ilvl w:val="0"/>
          <w:numId w:val="37"/>
        </w:numPr>
        <w:rPr>
          <w:lang w:eastAsia="en-US"/>
        </w:rPr>
      </w:pPr>
      <w:r w:rsidRPr="00A42DC5">
        <w:rPr>
          <w:lang w:eastAsia="en-US"/>
        </w:rPr>
        <w:t xml:space="preserve">The participant </w:t>
      </w:r>
      <w:r w:rsidRPr="00CE3D5C">
        <w:rPr>
          <w:b/>
          <w:bCs/>
          <w:lang w:eastAsia="en-US"/>
        </w:rPr>
        <w:t xml:space="preserve">fails the comparison if </w:t>
      </w:r>
      <w:r w:rsidRPr="00CE3D5C">
        <w:rPr>
          <w:b/>
          <w:bCs/>
          <w:i/>
          <w:iCs/>
          <w:lang w:eastAsia="en-US"/>
        </w:rPr>
        <w:t>E</w:t>
      </w:r>
      <w:r w:rsidRPr="00CE3D5C">
        <w:rPr>
          <w:b/>
          <w:bCs/>
          <w:vertAlign w:val="subscript"/>
          <w:lang w:eastAsia="en-US"/>
        </w:rPr>
        <w:t>N,</w:t>
      </w:r>
      <w:r w:rsidRPr="00CE3D5C">
        <w:rPr>
          <w:b/>
          <w:bCs/>
          <w:i/>
          <w:iCs/>
          <w:vertAlign w:val="subscript"/>
          <w:lang w:eastAsia="en-US"/>
        </w:rPr>
        <w:t>i</w:t>
      </w:r>
      <w:r w:rsidRPr="00CE3D5C">
        <w:rPr>
          <w:b/>
          <w:bCs/>
          <w:lang w:eastAsia="en-US"/>
        </w:rPr>
        <w:t xml:space="preserve"> </w:t>
      </w:r>
      <m:oMath>
        <m:r>
          <m:rPr>
            <m:sty m:val="b"/>
          </m:rPr>
          <w:rPr>
            <w:rFonts w:ascii="Cambria Math" w:hAnsi="Cambria Math"/>
            <w:lang w:eastAsia="en-US"/>
          </w:rPr>
          <m:t>&gt;</m:t>
        </m:r>
      </m:oMath>
      <w:r w:rsidRPr="00CE3D5C">
        <w:rPr>
          <w:b/>
          <w:bCs/>
          <w:lang w:eastAsia="en-US"/>
        </w:rPr>
        <w:t xml:space="preserve"> 1.2. </w:t>
      </w:r>
      <w:r w:rsidRPr="00A42DC5">
        <w:rPr>
          <w:lang w:eastAsia="en-US"/>
        </w:rPr>
        <w:t>The claimed laboratory results cannot be accepted.</w:t>
      </w:r>
    </w:p>
    <w:p w14:paraId="4AB3BAB0" w14:textId="77777777" w:rsidR="00A42DC5" w:rsidRPr="00A42DC5" w:rsidRDefault="00A42DC5" w:rsidP="00CE3D5C">
      <w:pPr>
        <w:pStyle w:val="Odstavecseseznamem"/>
        <w:numPr>
          <w:ilvl w:val="0"/>
          <w:numId w:val="37"/>
        </w:numPr>
        <w:rPr>
          <w:lang w:eastAsia="en-US"/>
        </w:rPr>
      </w:pPr>
      <w:r w:rsidRPr="00A42DC5">
        <w:rPr>
          <w:lang w:eastAsia="en-US"/>
        </w:rPr>
        <w:t xml:space="preserve">Inconclusive results if </w:t>
      </w:r>
      <w:r w:rsidRPr="00CE3D5C">
        <w:rPr>
          <w:i/>
          <w:lang w:eastAsia="en-US"/>
        </w:rPr>
        <w:t>E</w:t>
      </w:r>
      <w:r w:rsidRPr="00CE3D5C">
        <w:rPr>
          <w:vertAlign w:val="subscript"/>
          <w:lang w:eastAsia="en-US"/>
        </w:rPr>
        <w:t>N,</w:t>
      </w:r>
      <w:r w:rsidRPr="00CE3D5C">
        <w:rPr>
          <w:i/>
          <w:iCs/>
          <w:vertAlign w:val="subscript"/>
          <w:lang w:eastAsia="en-US"/>
        </w:rPr>
        <w:t>i</w:t>
      </w:r>
      <w:r w:rsidRPr="00A42DC5">
        <w:rPr>
          <w:lang w:eastAsia="en-US"/>
        </w:rPr>
        <w:t xml:space="preserve"> </w:t>
      </w:r>
      <m:oMath>
        <m:r>
          <w:rPr>
            <w:rFonts w:ascii="Cambria Math" w:hAnsi="Cambria Math"/>
            <w:lang w:eastAsia="en-US"/>
          </w:rPr>
          <m:t>≤</m:t>
        </m:r>
      </m:oMath>
      <w:r w:rsidRPr="00A42DC5">
        <w:rPr>
          <w:lang w:eastAsia="en-US"/>
        </w:rPr>
        <w:t xml:space="preserve"> 1.2 is combined with </w:t>
      </w:r>
      <w:r w:rsidRPr="00CE3D5C">
        <w:rPr>
          <w:i/>
          <w:iCs/>
          <w:lang w:eastAsia="en-US"/>
        </w:rPr>
        <w:t>P</w:t>
      </w:r>
      <w:r w:rsidRPr="00CE3D5C">
        <w:rPr>
          <w:i/>
          <w:iCs/>
          <w:vertAlign w:val="subscript"/>
          <w:lang w:eastAsia="en-US"/>
        </w:rPr>
        <w:t>th</w:t>
      </w:r>
      <w:r w:rsidRPr="00A42DC5">
        <w:rPr>
          <w:lang w:eastAsia="en-US"/>
        </w:rPr>
        <w:t xml:space="preserve"> </w:t>
      </w:r>
      <w:r w:rsidRPr="00CE3D5C">
        <w:rPr>
          <w:rFonts w:cstheme="minorHAnsi"/>
          <w:lang w:eastAsia="en-US"/>
        </w:rPr>
        <w:t>&lt;</w:t>
      </w:r>
      <w:r w:rsidRPr="00A42DC5">
        <w:rPr>
          <w:lang w:eastAsia="en-US"/>
        </w:rPr>
        <w:t xml:space="preserve"> 0.35</w:t>
      </w:r>
    </w:p>
    <w:p w14:paraId="6C0DE1A7" w14:textId="191D8B0E" w:rsidR="00A42DC5" w:rsidRPr="00A42DC5" w:rsidRDefault="00A42DC5" w:rsidP="00CE3D5C">
      <w:pPr>
        <w:rPr>
          <w:lang w:eastAsia="en-US"/>
        </w:rPr>
      </w:pPr>
      <w:r w:rsidRPr="00A42DC5">
        <w:rPr>
          <w:lang w:eastAsia="en-US"/>
        </w:rPr>
        <w:t>The results are inconclusive, due to the low overlapping between density functions. This decision involves an evaluation of</w:t>
      </w:r>
      <w:r w:rsidR="00122654">
        <w:rPr>
          <w:lang w:eastAsia="en-US"/>
        </w:rPr>
        <w:t xml:space="preserve"> the</w:t>
      </w:r>
      <w:r w:rsidRPr="00A42DC5">
        <w:rPr>
          <w:lang w:eastAsia="en-US"/>
        </w:rPr>
        <w:t xml:space="preserve"> transfer meter, which did not show sufficient low uncertainties to discern lab to </w:t>
      </w:r>
      <w:r w:rsidRPr="00A42DC5">
        <w:rPr>
          <w:i/>
          <w:iCs/>
          <w:lang w:eastAsia="en-US"/>
        </w:rPr>
        <w:t>CRV</w:t>
      </w:r>
      <w:r w:rsidRPr="00A42DC5">
        <w:rPr>
          <w:lang w:eastAsia="en-US"/>
        </w:rPr>
        <w:t xml:space="preserve"> below certain level. In this case, the transfer standard was not suitable for a confirmation of the declared laboratory uncertainties.</w:t>
      </w:r>
    </w:p>
    <w:bookmarkStart w:id="50" w:name="_Toc193212509" w:displacedByCustomXml="next"/>
    <w:sdt>
      <w:sdtPr>
        <w:rPr>
          <w:b w:val="0"/>
          <w:bCs w:val="0"/>
          <w:sz w:val="22"/>
          <w:szCs w:val="22"/>
        </w:rPr>
        <w:id w:val="-291984371"/>
        <w:docPartObj>
          <w:docPartGallery w:val="Bibliographies"/>
          <w:docPartUnique/>
        </w:docPartObj>
      </w:sdtPr>
      <w:sdtContent>
        <w:p w14:paraId="5836A704" w14:textId="0D57ED6B" w:rsidR="006F035E" w:rsidRPr="006F035E" w:rsidRDefault="006F035E" w:rsidP="00CE3D5C">
          <w:pPr>
            <w:pStyle w:val="Nadpis1"/>
          </w:pPr>
          <w:r w:rsidRPr="006F035E">
            <w:t>References</w:t>
          </w:r>
          <w:bookmarkEnd w:id="50"/>
        </w:p>
        <w:sdt>
          <w:sdtPr>
            <w:id w:val="-573587230"/>
            <w:bibliography/>
          </w:sdtPr>
          <w:sdtContent>
            <w:p w14:paraId="5B0BF719" w14:textId="3911F7E6" w:rsidR="006F035E" w:rsidRPr="006F035E" w:rsidRDefault="006F035E" w:rsidP="00CE3D5C">
              <w:pPr>
                <w:rPr>
                  <w:lang w:eastAsia="en-US"/>
                </w:rPr>
              </w:pPr>
              <w:r w:rsidRPr="006F035E">
                <w:rPr>
                  <w:lang w:eastAsia="en-US"/>
                </w:rPr>
                <w:t>[1] WGFF (2013): WGFF Guidelines for CMC Uncertainty and Calibration Report Uncertainty. 21.10.2013, http://www.bipm.org/utils/en/pdf/ccm‐wgff‐guidelines.pdf.</w:t>
              </w:r>
            </w:p>
            <w:p w14:paraId="75137017" w14:textId="77777777" w:rsidR="006F035E" w:rsidRPr="006F035E" w:rsidRDefault="006F035E" w:rsidP="00CE3D5C">
              <w:pPr>
                <w:rPr>
                  <w:lang w:eastAsia="en-US"/>
                </w:rPr>
              </w:pPr>
              <w:r w:rsidRPr="006F035E">
                <w:rPr>
                  <w:lang w:eastAsia="en-US"/>
                </w:rPr>
                <w:t>[2] Wright, J., Toman, B., Mickan, B., Wübbeler, G., Bodnar, O., Mickan, B., and Elster, C. (2016): Transfer standard uncertainty can cause inconclusive inter-laboratory comparisons, Metrologia 53, 1243 – 1258. DOI 10.1088/0026-1394/53/6/1243</w:t>
              </w:r>
            </w:p>
            <w:p w14:paraId="05C025C9" w14:textId="38460195" w:rsidR="006F035E" w:rsidRDefault="006F035E" w:rsidP="00CE3D5C">
              <w:pPr>
                <w:rPr>
                  <w:lang w:eastAsia="en-US"/>
                </w:rPr>
              </w:pPr>
              <w:r w:rsidRPr="006F035E">
                <w:rPr>
                  <w:lang w:eastAsia="en-US"/>
                </w:rPr>
                <w:t xml:space="preserve">[3] Frahm, E. and Wright, J. D. (2023): Evaluation of Inter-Laboratory Comparison Results: Representative Examples, Measurement, Volume 223, 2023, 113723, ISSN 0263-2241, </w:t>
              </w:r>
              <w:hyperlink r:id="rId22" w:history="1">
                <w:r w:rsidRPr="006F035E">
                  <w:rPr>
                    <w:rStyle w:val="Hypertextovodkaz"/>
                    <w:rFonts w:asciiTheme="minorHAnsi" w:hAnsiTheme="minorHAnsi" w:cs="Times New Roman"/>
                    <w:lang w:eastAsia="en-US"/>
                  </w:rPr>
                  <w:t>https://doi.org/10.1016/j.measurement.2023.113723</w:t>
                </w:r>
              </w:hyperlink>
              <w:r w:rsidRPr="006F035E">
                <w:rPr>
                  <w:lang w:eastAsia="en-US"/>
                </w:rPr>
                <w:t>.</w:t>
              </w:r>
            </w:p>
            <w:p w14:paraId="70B78B1D" w14:textId="77777777" w:rsidR="006F035E" w:rsidRPr="006F035E" w:rsidRDefault="006F035E" w:rsidP="00CE3D5C">
              <w:pPr>
                <w:rPr>
                  <w:lang w:val="en-GB" w:eastAsia="en-US"/>
                </w:rPr>
              </w:pPr>
              <w:r w:rsidRPr="006F035E">
                <w:rPr>
                  <w:lang w:val="en-GB" w:eastAsia="en-US"/>
                </w:rPr>
                <w:t xml:space="preserve">[4] Cox M. G. (2002): Evaluation of key comparison data, Metrologia 39 589 </w:t>
              </w:r>
              <w:r w:rsidRPr="006F035E">
                <w:rPr>
                  <w:rFonts w:hint="eastAsia"/>
                  <w:lang w:val="en-GB" w:eastAsia="en-US"/>
                </w:rPr>
                <w:t>–</w:t>
              </w:r>
              <w:r w:rsidRPr="006F035E">
                <w:rPr>
                  <w:lang w:val="en-GB" w:eastAsia="en-US"/>
                </w:rPr>
                <w:t xml:space="preserve"> 595.</w:t>
              </w:r>
            </w:p>
            <w:p w14:paraId="4C60DD82" w14:textId="77777777" w:rsidR="006F035E" w:rsidRDefault="006F035E" w:rsidP="00CE3D5C">
              <w:pPr>
                <w:rPr>
                  <w:lang w:val="en-GB" w:eastAsia="en-US"/>
                </w:rPr>
              </w:pPr>
              <w:r w:rsidRPr="006F035E">
                <w:rPr>
                  <w:lang w:val="en-GB" w:eastAsia="en-US"/>
                </w:rPr>
                <w:t xml:space="preserve">[5] Cox M. G. (2007): the evaluation of key comparison data: determining the largest consistent subset, Metrologia, 44, 187 </w:t>
              </w:r>
              <w:r w:rsidRPr="006F035E">
                <w:rPr>
                  <w:rFonts w:hint="eastAsia"/>
                  <w:lang w:val="en-GB" w:eastAsia="en-US"/>
                </w:rPr>
                <w:t>–</w:t>
              </w:r>
              <w:r w:rsidRPr="006F035E">
                <w:rPr>
                  <w:lang w:val="en-GB" w:eastAsia="en-US"/>
                </w:rPr>
                <w:t xml:space="preserve"> 200</w:t>
              </w:r>
            </w:p>
            <w:p w14:paraId="29E476CD" w14:textId="77777777" w:rsidR="006F035E" w:rsidRPr="006F035E" w:rsidRDefault="006F035E" w:rsidP="00CE3D5C">
              <w:pPr>
                <w:rPr>
                  <w:lang w:val="en-GB" w:eastAsia="en-US"/>
                </w:rPr>
              </w:pPr>
              <w:r w:rsidRPr="006F035E">
                <w:rPr>
                  <w:lang w:val="en-GB" w:eastAsia="en-US"/>
                </w:rPr>
                <w:t>[6] Frahm, E. and Wright, J. D., Evaluating Inter-laboratory Comparison Data, FLOMEKO, Chongqing, China, November 1 to 4, 2022.</w:t>
              </w:r>
            </w:p>
            <w:p w14:paraId="48456946" w14:textId="7DAB94DB" w:rsidR="006F035E" w:rsidRPr="006F035E" w:rsidRDefault="006F035E" w:rsidP="00CE3D5C">
              <w:pPr>
                <w:rPr>
                  <w:lang w:val="en-GB" w:eastAsia="en-US"/>
                </w:rPr>
              </w:pPr>
              <w:r w:rsidRPr="006F035E">
                <w:rPr>
                  <w:lang w:val="en-GB" w:eastAsia="en-US"/>
                </w:rPr>
                <w:t>[7] Wright, J., Mickan, B., Benkova, M., Chun-Lin Ch. (2022): Laboratory Comparison Calculations Spreadsheet Template Following Cox 2002 Method, BIPM WGFF, unpublished working paper.</w:t>
              </w:r>
            </w:p>
            <w:p w14:paraId="43B23A8A" w14:textId="480531DF" w:rsidR="006F035E" w:rsidRPr="006F035E" w:rsidRDefault="00000000" w:rsidP="00CE3D5C"/>
          </w:sdtContent>
        </w:sdt>
      </w:sdtContent>
    </w:sdt>
    <w:sectPr w:rsidR="006F035E" w:rsidRPr="006F035E" w:rsidSect="002F3E81">
      <w:headerReference w:type="default" r:id="rId23"/>
      <w:footerReference w:type="default" r:id="rId24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BEA1" w14:textId="77777777" w:rsidR="003E52A7" w:rsidRPr="006F035E" w:rsidRDefault="003E52A7" w:rsidP="00CE3D5C">
      <w:r w:rsidRPr="006F035E">
        <w:separator/>
      </w:r>
    </w:p>
  </w:endnote>
  <w:endnote w:type="continuationSeparator" w:id="0">
    <w:p w14:paraId="0E77039C" w14:textId="77777777" w:rsidR="003E52A7" w:rsidRPr="006F035E" w:rsidRDefault="003E52A7" w:rsidP="00CE3D5C">
      <w:r w:rsidRPr="006F03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5A3A" w14:textId="3477D03C" w:rsidR="000D287C" w:rsidRPr="006F035E" w:rsidRDefault="000D287C" w:rsidP="00CE3D5C">
    <w:pPr>
      <w:pStyle w:val="Zhlav"/>
    </w:pPr>
    <w:r w:rsidRPr="006F035E">
      <w:rPr>
        <w:b/>
        <w:bCs/>
      </w:rPr>
      <w:t xml:space="preserve">Protocol version date </w:t>
    </w:r>
    <w:r w:rsidR="00A91B38">
      <w:rPr>
        <w:b/>
        <w:bCs/>
      </w:rPr>
      <w:t>February 2025</w:t>
    </w:r>
    <w:r w:rsidRPr="006F035E">
      <w:rPr>
        <w:rFonts w:ascii="Arial Black" w:hAnsi="Arial Black" w:cs="Arial Black"/>
      </w:rPr>
      <w:tab/>
    </w:r>
    <w:r w:rsidRPr="006F035E">
      <w:rPr>
        <w:rFonts w:ascii="Arial Black" w:hAnsi="Arial Black" w:cs="Arial Black"/>
      </w:rPr>
      <w:tab/>
    </w:r>
    <w:r w:rsidRPr="006F035E">
      <w:t xml:space="preserve">Page </w:t>
    </w:r>
    <w:r w:rsidRPr="006F035E">
      <w:rPr>
        <w:rStyle w:val="slostrnky"/>
        <w:sz w:val="20"/>
        <w:szCs w:val="20"/>
      </w:rPr>
      <w:fldChar w:fldCharType="begin"/>
    </w:r>
    <w:r w:rsidRPr="006F035E">
      <w:rPr>
        <w:rStyle w:val="slostrnky"/>
        <w:sz w:val="20"/>
        <w:szCs w:val="20"/>
      </w:rPr>
      <w:instrText xml:space="preserve"> PAGE </w:instrText>
    </w:r>
    <w:r w:rsidRPr="006F035E">
      <w:rPr>
        <w:rStyle w:val="slostrnky"/>
        <w:sz w:val="20"/>
        <w:szCs w:val="20"/>
      </w:rPr>
      <w:fldChar w:fldCharType="separate"/>
    </w:r>
    <w:r w:rsidR="00950C99" w:rsidRPr="006F035E">
      <w:rPr>
        <w:rStyle w:val="slostrnky"/>
        <w:sz w:val="20"/>
        <w:szCs w:val="20"/>
      </w:rPr>
      <w:t>6</w:t>
    </w:r>
    <w:r w:rsidRPr="006F035E">
      <w:rPr>
        <w:rStyle w:val="slostrnky"/>
        <w:sz w:val="20"/>
        <w:szCs w:val="20"/>
      </w:rPr>
      <w:fldChar w:fldCharType="end"/>
    </w:r>
    <w:r w:rsidRPr="006F035E">
      <w:t xml:space="preserve"> of </w:t>
    </w:r>
    <w:r w:rsidRPr="006F035E">
      <w:rPr>
        <w:rStyle w:val="slostrnky"/>
        <w:sz w:val="20"/>
        <w:szCs w:val="20"/>
      </w:rPr>
      <w:fldChar w:fldCharType="begin"/>
    </w:r>
    <w:r w:rsidRPr="006F035E">
      <w:rPr>
        <w:rStyle w:val="slostrnky"/>
        <w:sz w:val="20"/>
        <w:szCs w:val="20"/>
      </w:rPr>
      <w:instrText xml:space="preserve"> NUMPAGES </w:instrText>
    </w:r>
    <w:r w:rsidRPr="006F035E">
      <w:rPr>
        <w:rStyle w:val="slostrnky"/>
        <w:sz w:val="20"/>
        <w:szCs w:val="20"/>
      </w:rPr>
      <w:fldChar w:fldCharType="separate"/>
    </w:r>
    <w:r w:rsidR="00950C99" w:rsidRPr="006F035E">
      <w:rPr>
        <w:rStyle w:val="slostrnky"/>
        <w:sz w:val="20"/>
        <w:szCs w:val="20"/>
      </w:rPr>
      <w:t>31</w:t>
    </w:r>
    <w:r w:rsidRPr="006F035E">
      <w:rPr>
        <w:rStyle w:val="slostrnky"/>
        <w:sz w:val="20"/>
        <w:szCs w:val="20"/>
      </w:rPr>
      <w:fldChar w:fldCharType="end"/>
    </w:r>
  </w:p>
  <w:p w14:paraId="3066278E" w14:textId="77777777" w:rsidR="000D287C" w:rsidRPr="006F035E" w:rsidRDefault="000D287C" w:rsidP="00CE3D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58050" w14:textId="77777777" w:rsidR="003E52A7" w:rsidRPr="006F035E" w:rsidRDefault="003E52A7" w:rsidP="00CE3D5C">
      <w:r w:rsidRPr="006F035E">
        <w:separator/>
      </w:r>
    </w:p>
  </w:footnote>
  <w:footnote w:type="continuationSeparator" w:id="0">
    <w:p w14:paraId="4A39F0E5" w14:textId="77777777" w:rsidR="003E52A7" w:rsidRPr="006F035E" w:rsidRDefault="003E52A7" w:rsidP="00CE3D5C">
      <w:r w:rsidRPr="006F03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9FD3" w14:textId="3AD000B3" w:rsidR="000D287C" w:rsidRPr="006F035E" w:rsidRDefault="00D30AB5" w:rsidP="00CE3D5C">
    <w:r w:rsidRPr="00D30AB5">
      <w:t>EURAMET Supplementary comparison</w:t>
    </w:r>
    <w:r>
      <w:t xml:space="preserve"> No. XXXX,</w:t>
    </w:r>
    <w:r w:rsidRPr="00D30AB5">
      <w:t xml:space="preserve"> EURAMET.M.FF-</w:t>
    </w:r>
    <w:proofErr w:type="spellStart"/>
    <w:r w:rsidRPr="00D30AB5">
      <w:t>Sxx</w:t>
    </w:r>
    <w:proofErr w:type="spellEnd"/>
  </w:p>
  <w:p w14:paraId="079A45FC" w14:textId="0F675371" w:rsidR="000D287C" w:rsidRPr="006F035E" w:rsidRDefault="00D30AB5" w:rsidP="00CE3D5C">
    <w:r w:rsidRPr="00D30AB5">
      <w:t xml:space="preserve">Comparisons of standards for liquid </w:t>
    </w:r>
    <w:r w:rsidR="008A0782">
      <w:t>milli-</w:t>
    </w:r>
    <w:r w:rsidRPr="00D30AB5">
      <w:t>micro flow rates</w:t>
    </w:r>
  </w:p>
  <w:p w14:paraId="447B9057" w14:textId="77777777" w:rsidR="000D287C" w:rsidRPr="006F035E" w:rsidRDefault="000D287C" w:rsidP="00CE3D5C">
    <w:pPr>
      <w:pStyle w:val="Zhlav"/>
    </w:pPr>
  </w:p>
  <w:p w14:paraId="535D317F" w14:textId="77777777" w:rsidR="000D287C" w:rsidRPr="006F035E" w:rsidRDefault="000D287C" w:rsidP="00CE3D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09C8C1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721087809" o:spid="_x0000_i1025" type="#_x0000_t75" style="width:9.6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36538480" wp14:editId="3D0EE363">
            <wp:extent cx="121920" cy="144780"/>
            <wp:effectExtent l="0" t="0" r="0" b="0"/>
            <wp:docPr id="1721087809" name="Obrázek 1721087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E7659D"/>
    <w:multiLevelType w:val="multilevel"/>
    <w:tmpl w:val="77F45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CE7FC5"/>
    <w:multiLevelType w:val="hybridMultilevel"/>
    <w:tmpl w:val="78305B6E"/>
    <w:lvl w:ilvl="0" w:tplc="06320E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2FB8"/>
    <w:multiLevelType w:val="hybridMultilevel"/>
    <w:tmpl w:val="BA54D34A"/>
    <w:lvl w:ilvl="0" w:tplc="9F865E62">
      <w:start w:val="1"/>
      <w:numFmt w:val="decimal"/>
      <w:pStyle w:val="Reference"/>
      <w:lvlText w:val="[%1]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B03D9"/>
    <w:multiLevelType w:val="hybridMultilevel"/>
    <w:tmpl w:val="299C99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7401A"/>
    <w:multiLevelType w:val="hybridMultilevel"/>
    <w:tmpl w:val="C694ACF4"/>
    <w:lvl w:ilvl="0" w:tplc="DA4065F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EC0E83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75791"/>
    <w:multiLevelType w:val="hybridMultilevel"/>
    <w:tmpl w:val="97C49F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3129B"/>
    <w:multiLevelType w:val="hybridMultilevel"/>
    <w:tmpl w:val="71DEC096"/>
    <w:lvl w:ilvl="0" w:tplc="7CF67B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C2110"/>
    <w:multiLevelType w:val="multilevel"/>
    <w:tmpl w:val="3B5215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92" w:hanging="432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510253"/>
    <w:multiLevelType w:val="hybridMultilevel"/>
    <w:tmpl w:val="CDAE0F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C37EE"/>
    <w:multiLevelType w:val="hybridMultilevel"/>
    <w:tmpl w:val="7B3C2238"/>
    <w:lvl w:ilvl="0" w:tplc="8AAA43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0C841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F46D0D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B7945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78A8B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1C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C84DC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CD23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EE7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B32B3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0C3057"/>
    <w:multiLevelType w:val="hybridMultilevel"/>
    <w:tmpl w:val="C9EE65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705F5"/>
    <w:multiLevelType w:val="hybridMultilevel"/>
    <w:tmpl w:val="6A3865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F2590"/>
    <w:multiLevelType w:val="hybridMultilevel"/>
    <w:tmpl w:val="BF2A4A52"/>
    <w:lvl w:ilvl="0" w:tplc="16EEEB26">
      <w:start w:val="1"/>
      <w:numFmt w:val="decimal"/>
      <w:lvlText w:val="(%1-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6B62A1"/>
    <w:multiLevelType w:val="hybridMultilevel"/>
    <w:tmpl w:val="2FE026F0"/>
    <w:lvl w:ilvl="0" w:tplc="EC0E8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5708C"/>
    <w:multiLevelType w:val="hybridMultilevel"/>
    <w:tmpl w:val="FEF82148"/>
    <w:lvl w:ilvl="0" w:tplc="ACEA3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B2632"/>
    <w:multiLevelType w:val="hybridMultilevel"/>
    <w:tmpl w:val="10C8383E"/>
    <w:lvl w:ilvl="0" w:tplc="040C000F">
      <w:start w:val="1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7" w15:restartNumberingAfterBreak="0">
    <w:nsid w:val="571805F3"/>
    <w:multiLevelType w:val="hybridMultilevel"/>
    <w:tmpl w:val="DF4ABE5E"/>
    <w:lvl w:ilvl="0" w:tplc="C1CA1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30AE850">
      <w:start w:val="1309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38AEB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940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EDE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42E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FACB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C6C9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9489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3C6112"/>
    <w:multiLevelType w:val="hybridMultilevel"/>
    <w:tmpl w:val="9078E0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205A3"/>
    <w:multiLevelType w:val="multilevel"/>
    <w:tmpl w:val="F23CA6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92" w:hanging="432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C52CDA"/>
    <w:multiLevelType w:val="hybridMultilevel"/>
    <w:tmpl w:val="AB36D2A0"/>
    <w:lvl w:ilvl="0" w:tplc="ED045830">
      <w:start w:val="1"/>
      <w:numFmt w:val="bullet"/>
      <w:lvlText w:val="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F231D"/>
    <w:multiLevelType w:val="hybridMultilevel"/>
    <w:tmpl w:val="7D1C3112"/>
    <w:lvl w:ilvl="0" w:tplc="57EA0E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D04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D0B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AAD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2DD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B8F8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F61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4D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E0DD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975769"/>
    <w:multiLevelType w:val="hybridMultilevel"/>
    <w:tmpl w:val="5ED0A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55CC9"/>
    <w:multiLevelType w:val="hybridMultilevel"/>
    <w:tmpl w:val="10C8383E"/>
    <w:lvl w:ilvl="0" w:tplc="040C000F">
      <w:start w:val="1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24" w15:restartNumberingAfterBreak="0">
    <w:nsid w:val="6A6A2B3C"/>
    <w:multiLevelType w:val="multilevel"/>
    <w:tmpl w:val="D144AA8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D662B80"/>
    <w:multiLevelType w:val="hybridMultilevel"/>
    <w:tmpl w:val="8810593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EA32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65764F"/>
    <w:multiLevelType w:val="singleLevel"/>
    <w:tmpl w:val="06AA1894"/>
    <w:lvl w:ilvl="0">
      <w:start w:val="974"/>
      <w:numFmt w:val="bullet"/>
      <w:lvlText w:val="-"/>
      <w:lvlJc w:val="left"/>
      <w:pPr>
        <w:tabs>
          <w:tab w:val="num" w:pos="1097"/>
        </w:tabs>
        <w:ind w:left="1077" w:hanging="340"/>
      </w:pPr>
      <w:rPr>
        <w:rFonts w:hint="default"/>
      </w:rPr>
    </w:lvl>
  </w:abstractNum>
  <w:abstractNum w:abstractNumId="27" w15:restartNumberingAfterBreak="0">
    <w:nsid w:val="75DA0A25"/>
    <w:multiLevelType w:val="hybridMultilevel"/>
    <w:tmpl w:val="DC0C76EA"/>
    <w:lvl w:ilvl="0" w:tplc="6C78C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0C04F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132DB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8EFF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293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289B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C8E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4BC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7CEE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E77C24"/>
    <w:multiLevelType w:val="hybridMultilevel"/>
    <w:tmpl w:val="F0384410"/>
    <w:lvl w:ilvl="0" w:tplc="6B7A8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22E5D"/>
    <w:multiLevelType w:val="hybridMultilevel"/>
    <w:tmpl w:val="10C8383E"/>
    <w:lvl w:ilvl="0" w:tplc="FFFFFFFF">
      <w:start w:val="1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30" w15:restartNumberingAfterBreak="0">
    <w:nsid w:val="77781ACA"/>
    <w:multiLevelType w:val="hybridMultilevel"/>
    <w:tmpl w:val="99BC59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03D40"/>
    <w:multiLevelType w:val="hybridMultilevel"/>
    <w:tmpl w:val="C362FBF8"/>
    <w:lvl w:ilvl="0" w:tplc="2578EB1A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98897680">
    <w:abstractNumId w:val="12"/>
  </w:num>
  <w:num w:numId="2" w16cid:durableId="170409790">
    <w:abstractNumId w:val="10"/>
  </w:num>
  <w:num w:numId="3" w16cid:durableId="1540892669">
    <w:abstractNumId w:val="24"/>
  </w:num>
  <w:num w:numId="4" w16cid:durableId="1943225343">
    <w:abstractNumId w:val="0"/>
  </w:num>
  <w:num w:numId="5" w16cid:durableId="1172450719">
    <w:abstractNumId w:val="7"/>
  </w:num>
  <w:num w:numId="6" w16cid:durableId="1788159187">
    <w:abstractNumId w:val="19"/>
  </w:num>
  <w:num w:numId="7" w16cid:durableId="20450146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471665">
    <w:abstractNumId w:val="21"/>
  </w:num>
  <w:num w:numId="9" w16cid:durableId="530579681">
    <w:abstractNumId w:val="9"/>
  </w:num>
  <w:num w:numId="10" w16cid:durableId="955259985">
    <w:abstractNumId w:val="26"/>
  </w:num>
  <w:num w:numId="11" w16cid:durableId="1746757552">
    <w:abstractNumId w:val="24"/>
  </w:num>
  <w:num w:numId="12" w16cid:durableId="1356539045">
    <w:abstractNumId w:val="13"/>
  </w:num>
  <w:num w:numId="13" w16cid:durableId="735589653">
    <w:abstractNumId w:val="24"/>
  </w:num>
  <w:num w:numId="14" w16cid:durableId="425420010">
    <w:abstractNumId w:val="24"/>
  </w:num>
  <w:num w:numId="15" w16cid:durableId="865797322">
    <w:abstractNumId w:val="24"/>
  </w:num>
  <w:num w:numId="16" w16cid:durableId="941381635">
    <w:abstractNumId w:val="24"/>
  </w:num>
  <w:num w:numId="17" w16cid:durableId="1634168177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843802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8757829">
    <w:abstractNumId w:val="4"/>
  </w:num>
  <w:num w:numId="20" w16cid:durableId="1108504187">
    <w:abstractNumId w:val="14"/>
  </w:num>
  <w:num w:numId="21" w16cid:durableId="1882325544">
    <w:abstractNumId w:val="2"/>
  </w:num>
  <w:num w:numId="22" w16cid:durableId="1968899131">
    <w:abstractNumId w:val="28"/>
  </w:num>
  <w:num w:numId="23" w16cid:durableId="776601910">
    <w:abstractNumId w:val="25"/>
  </w:num>
  <w:num w:numId="24" w16cid:durableId="688062573">
    <w:abstractNumId w:val="6"/>
  </w:num>
  <w:num w:numId="25" w16cid:durableId="1259632890">
    <w:abstractNumId w:val="20"/>
  </w:num>
  <w:num w:numId="26" w16cid:durableId="1967003855">
    <w:abstractNumId w:val="16"/>
  </w:num>
  <w:num w:numId="27" w16cid:durableId="1303003662">
    <w:abstractNumId w:val="18"/>
  </w:num>
  <w:num w:numId="28" w16cid:durableId="872154035">
    <w:abstractNumId w:val="30"/>
  </w:num>
  <w:num w:numId="29" w16cid:durableId="771390266">
    <w:abstractNumId w:val="11"/>
  </w:num>
  <w:num w:numId="30" w16cid:durableId="1969895397">
    <w:abstractNumId w:val="22"/>
  </w:num>
  <w:num w:numId="31" w16cid:durableId="162936702">
    <w:abstractNumId w:val="1"/>
  </w:num>
  <w:num w:numId="32" w16cid:durableId="804079739">
    <w:abstractNumId w:val="23"/>
  </w:num>
  <w:num w:numId="33" w16cid:durableId="1679428181">
    <w:abstractNumId w:val="3"/>
  </w:num>
  <w:num w:numId="34" w16cid:durableId="1394813095">
    <w:abstractNumId w:val="5"/>
  </w:num>
  <w:num w:numId="35" w16cid:durableId="1339653031">
    <w:abstractNumId w:val="29"/>
  </w:num>
  <w:num w:numId="36" w16cid:durableId="560753161">
    <w:abstractNumId w:val="15"/>
  </w:num>
  <w:num w:numId="37" w16cid:durableId="1671367165">
    <w:abstractNumId w:val="31"/>
  </w:num>
  <w:num w:numId="38" w16cid:durableId="54857151">
    <w:abstractNumId w:val="8"/>
  </w:num>
  <w:num w:numId="39" w16cid:durableId="492064358">
    <w:abstractNumId w:val="24"/>
  </w:num>
  <w:num w:numId="40" w16cid:durableId="19134625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BE"/>
    <w:rsid w:val="00000FA1"/>
    <w:rsid w:val="00001EDF"/>
    <w:rsid w:val="000021D5"/>
    <w:rsid w:val="000021D6"/>
    <w:rsid w:val="000023FF"/>
    <w:rsid w:val="00003462"/>
    <w:rsid w:val="000078FF"/>
    <w:rsid w:val="00012309"/>
    <w:rsid w:val="0001487A"/>
    <w:rsid w:val="0001597F"/>
    <w:rsid w:val="00016F7B"/>
    <w:rsid w:val="00020069"/>
    <w:rsid w:val="0002076D"/>
    <w:rsid w:val="00021054"/>
    <w:rsid w:val="00024C0E"/>
    <w:rsid w:val="00026B56"/>
    <w:rsid w:val="00027D56"/>
    <w:rsid w:val="00030587"/>
    <w:rsid w:val="00036126"/>
    <w:rsid w:val="0003789E"/>
    <w:rsid w:val="00037BED"/>
    <w:rsid w:val="00037C4A"/>
    <w:rsid w:val="00040E67"/>
    <w:rsid w:val="00043A78"/>
    <w:rsid w:val="000442F9"/>
    <w:rsid w:val="00044864"/>
    <w:rsid w:val="00046283"/>
    <w:rsid w:val="00054542"/>
    <w:rsid w:val="00055368"/>
    <w:rsid w:val="00055702"/>
    <w:rsid w:val="00055F59"/>
    <w:rsid w:val="0006062E"/>
    <w:rsid w:val="00061155"/>
    <w:rsid w:val="0006479A"/>
    <w:rsid w:val="00064993"/>
    <w:rsid w:val="000653E3"/>
    <w:rsid w:val="00066B1D"/>
    <w:rsid w:val="000722BF"/>
    <w:rsid w:val="0007493E"/>
    <w:rsid w:val="0007778A"/>
    <w:rsid w:val="00082485"/>
    <w:rsid w:val="00083AD6"/>
    <w:rsid w:val="00083EEA"/>
    <w:rsid w:val="00084019"/>
    <w:rsid w:val="00084960"/>
    <w:rsid w:val="00085967"/>
    <w:rsid w:val="00086C6A"/>
    <w:rsid w:val="00087A5C"/>
    <w:rsid w:val="00094F6D"/>
    <w:rsid w:val="00095D77"/>
    <w:rsid w:val="000A0758"/>
    <w:rsid w:val="000A0EB0"/>
    <w:rsid w:val="000A1BC0"/>
    <w:rsid w:val="000A35D3"/>
    <w:rsid w:val="000A5849"/>
    <w:rsid w:val="000A6DDB"/>
    <w:rsid w:val="000A7694"/>
    <w:rsid w:val="000B017E"/>
    <w:rsid w:val="000B4950"/>
    <w:rsid w:val="000B5563"/>
    <w:rsid w:val="000B62CC"/>
    <w:rsid w:val="000C00A6"/>
    <w:rsid w:val="000C0C25"/>
    <w:rsid w:val="000C0ECA"/>
    <w:rsid w:val="000C232B"/>
    <w:rsid w:val="000C2562"/>
    <w:rsid w:val="000C358A"/>
    <w:rsid w:val="000C42C4"/>
    <w:rsid w:val="000D287C"/>
    <w:rsid w:val="000D4CB5"/>
    <w:rsid w:val="000D504B"/>
    <w:rsid w:val="000E03C1"/>
    <w:rsid w:val="000E0781"/>
    <w:rsid w:val="000E0FA6"/>
    <w:rsid w:val="000E17E3"/>
    <w:rsid w:val="000E300E"/>
    <w:rsid w:val="000E5EA3"/>
    <w:rsid w:val="000E7BBA"/>
    <w:rsid w:val="000E7F3D"/>
    <w:rsid w:val="000F032E"/>
    <w:rsid w:val="000F0C7B"/>
    <w:rsid w:val="000F1CCB"/>
    <w:rsid w:val="000F1E63"/>
    <w:rsid w:val="000F2A2C"/>
    <w:rsid w:val="000F31E7"/>
    <w:rsid w:val="000F5F57"/>
    <w:rsid w:val="000F665C"/>
    <w:rsid w:val="000F76DA"/>
    <w:rsid w:val="001011AA"/>
    <w:rsid w:val="00105813"/>
    <w:rsid w:val="00105DB8"/>
    <w:rsid w:val="00107A08"/>
    <w:rsid w:val="001124DC"/>
    <w:rsid w:val="001173AA"/>
    <w:rsid w:val="00122654"/>
    <w:rsid w:val="0012587D"/>
    <w:rsid w:val="00125B4D"/>
    <w:rsid w:val="00132AB9"/>
    <w:rsid w:val="0013370D"/>
    <w:rsid w:val="0013386C"/>
    <w:rsid w:val="0013424A"/>
    <w:rsid w:val="001350D4"/>
    <w:rsid w:val="0014309E"/>
    <w:rsid w:val="00145882"/>
    <w:rsid w:val="00145ABE"/>
    <w:rsid w:val="00147ED0"/>
    <w:rsid w:val="001516B6"/>
    <w:rsid w:val="00156EAF"/>
    <w:rsid w:val="00160D9A"/>
    <w:rsid w:val="00162AE9"/>
    <w:rsid w:val="00165233"/>
    <w:rsid w:val="00166DFC"/>
    <w:rsid w:val="00173F61"/>
    <w:rsid w:val="00174A92"/>
    <w:rsid w:val="001808BB"/>
    <w:rsid w:val="0018469C"/>
    <w:rsid w:val="00185C09"/>
    <w:rsid w:val="00191E35"/>
    <w:rsid w:val="00192206"/>
    <w:rsid w:val="001925BF"/>
    <w:rsid w:val="001928C3"/>
    <w:rsid w:val="00193A6F"/>
    <w:rsid w:val="00196CB3"/>
    <w:rsid w:val="00197132"/>
    <w:rsid w:val="00197E51"/>
    <w:rsid w:val="001A0DA8"/>
    <w:rsid w:val="001A2730"/>
    <w:rsid w:val="001A299E"/>
    <w:rsid w:val="001A2A28"/>
    <w:rsid w:val="001B0CEC"/>
    <w:rsid w:val="001B50AF"/>
    <w:rsid w:val="001B50EE"/>
    <w:rsid w:val="001B5F29"/>
    <w:rsid w:val="001B7F9E"/>
    <w:rsid w:val="001C0742"/>
    <w:rsid w:val="001C2FCB"/>
    <w:rsid w:val="001C3468"/>
    <w:rsid w:val="001C3701"/>
    <w:rsid w:val="001C4428"/>
    <w:rsid w:val="001C6D01"/>
    <w:rsid w:val="001C780E"/>
    <w:rsid w:val="001C7E73"/>
    <w:rsid w:val="001D1127"/>
    <w:rsid w:val="001D5D83"/>
    <w:rsid w:val="001E091C"/>
    <w:rsid w:val="001E09C0"/>
    <w:rsid w:val="001E0CAF"/>
    <w:rsid w:val="001E0D5F"/>
    <w:rsid w:val="001E370A"/>
    <w:rsid w:val="001E4880"/>
    <w:rsid w:val="001F160E"/>
    <w:rsid w:val="001F431E"/>
    <w:rsid w:val="001F449B"/>
    <w:rsid w:val="001F6A13"/>
    <w:rsid w:val="001F75CB"/>
    <w:rsid w:val="001F7A31"/>
    <w:rsid w:val="002008C8"/>
    <w:rsid w:val="0020117D"/>
    <w:rsid w:val="00202C3C"/>
    <w:rsid w:val="00204B2B"/>
    <w:rsid w:val="00206675"/>
    <w:rsid w:val="002122A1"/>
    <w:rsid w:val="00213E64"/>
    <w:rsid w:val="00213F0A"/>
    <w:rsid w:val="0021561B"/>
    <w:rsid w:val="00223048"/>
    <w:rsid w:val="002239B6"/>
    <w:rsid w:val="00224023"/>
    <w:rsid w:val="00224B1E"/>
    <w:rsid w:val="00225292"/>
    <w:rsid w:val="00225528"/>
    <w:rsid w:val="00230766"/>
    <w:rsid w:val="00232672"/>
    <w:rsid w:val="00233225"/>
    <w:rsid w:val="0023331F"/>
    <w:rsid w:val="002334B5"/>
    <w:rsid w:val="002342BA"/>
    <w:rsid w:val="00234F02"/>
    <w:rsid w:val="0024411B"/>
    <w:rsid w:val="00245188"/>
    <w:rsid w:val="002474D3"/>
    <w:rsid w:val="002536A5"/>
    <w:rsid w:val="0025387D"/>
    <w:rsid w:val="00262BC0"/>
    <w:rsid w:val="00264F35"/>
    <w:rsid w:val="00270B3A"/>
    <w:rsid w:val="00272C4A"/>
    <w:rsid w:val="00272DF8"/>
    <w:rsid w:val="00272ECD"/>
    <w:rsid w:val="00273CD5"/>
    <w:rsid w:val="0027581E"/>
    <w:rsid w:val="00283622"/>
    <w:rsid w:val="0028396D"/>
    <w:rsid w:val="00284780"/>
    <w:rsid w:val="00287960"/>
    <w:rsid w:val="00290BFA"/>
    <w:rsid w:val="00290DE5"/>
    <w:rsid w:val="002915EC"/>
    <w:rsid w:val="002919DC"/>
    <w:rsid w:val="00294099"/>
    <w:rsid w:val="00297165"/>
    <w:rsid w:val="002A5611"/>
    <w:rsid w:val="002B1BF7"/>
    <w:rsid w:val="002B45A4"/>
    <w:rsid w:val="002B5895"/>
    <w:rsid w:val="002C7E31"/>
    <w:rsid w:val="002D02E7"/>
    <w:rsid w:val="002D05A0"/>
    <w:rsid w:val="002D0D62"/>
    <w:rsid w:val="002D65F3"/>
    <w:rsid w:val="002D7110"/>
    <w:rsid w:val="002E2DE6"/>
    <w:rsid w:val="002E39A8"/>
    <w:rsid w:val="002E5307"/>
    <w:rsid w:val="002F15F1"/>
    <w:rsid w:val="002F19D4"/>
    <w:rsid w:val="002F3E81"/>
    <w:rsid w:val="002F40C7"/>
    <w:rsid w:val="002F6EFD"/>
    <w:rsid w:val="00301A1D"/>
    <w:rsid w:val="00304289"/>
    <w:rsid w:val="003053EA"/>
    <w:rsid w:val="00307108"/>
    <w:rsid w:val="003145CE"/>
    <w:rsid w:val="0031548D"/>
    <w:rsid w:val="00321140"/>
    <w:rsid w:val="00323106"/>
    <w:rsid w:val="00323300"/>
    <w:rsid w:val="003239EC"/>
    <w:rsid w:val="0032428C"/>
    <w:rsid w:val="00326845"/>
    <w:rsid w:val="0032686A"/>
    <w:rsid w:val="00330768"/>
    <w:rsid w:val="00331521"/>
    <w:rsid w:val="003316C5"/>
    <w:rsid w:val="00341B50"/>
    <w:rsid w:val="00341D0F"/>
    <w:rsid w:val="00342EE1"/>
    <w:rsid w:val="00343906"/>
    <w:rsid w:val="00343F02"/>
    <w:rsid w:val="00345926"/>
    <w:rsid w:val="00346B7C"/>
    <w:rsid w:val="00350D71"/>
    <w:rsid w:val="003513E8"/>
    <w:rsid w:val="00352DF5"/>
    <w:rsid w:val="003541C6"/>
    <w:rsid w:val="00354DDA"/>
    <w:rsid w:val="00355A8D"/>
    <w:rsid w:val="003563F9"/>
    <w:rsid w:val="00357EF0"/>
    <w:rsid w:val="003638C3"/>
    <w:rsid w:val="003664A8"/>
    <w:rsid w:val="003679A2"/>
    <w:rsid w:val="0037047B"/>
    <w:rsid w:val="003720E2"/>
    <w:rsid w:val="0037599D"/>
    <w:rsid w:val="003766A5"/>
    <w:rsid w:val="0038006A"/>
    <w:rsid w:val="003835FD"/>
    <w:rsid w:val="00383819"/>
    <w:rsid w:val="00386DCC"/>
    <w:rsid w:val="003878A2"/>
    <w:rsid w:val="00392463"/>
    <w:rsid w:val="0039694F"/>
    <w:rsid w:val="003974E9"/>
    <w:rsid w:val="003A0D12"/>
    <w:rsid w:val="003A307C"/>
    <w:rsid w:val="003A4BAF"/>
    <w:rsid w:val="003A5454"/>
    <w:rsid w:val="003A60B2"/>
    <w:rsid w:val="003B3C79"/>
    <w:rsid w:val="003B43E0"/>
    <w:rsid w:val="003B50F8"/>
    <w:rsid w:val="003B57D9"/>
    <w:rsid w:val="003B6A1E"/>
    <w:rsid w:val="003C3DCB"/>
    <w:rsid w:val="003D16C2"/>
    <w:rsid w:val="003D2610"/>
    <w:rsid w:val="003E23D6"/>
    <w:rsid w:val="003E3041"/>
    <w:rsid w:val="003E52A7"/>
    <w:rsid w:val="003F1502"/>
    <w:rsid w:val="003F23D6"/>
    <w:rsid w:val="003F2688"/>
    <w:rsid w:val="003F50AC"/>
    <w:rsid w:val="003F5407"/>
    <w:rsid w:val="003F5974"/>
    <w:rsid w:val="003F6DB8"/>
    <w:rsid w:val="00402139"/>
    <w:rsid w:val="00405989"/>
    <w:rsid w:val="00407ED7"/>
    <w:rsid w:val="0041093A"/>
    <w:rsid w:val="004109BA"/>
    <w:rsid w:val="00413817"/>
    <w:rsid w:val="00414C63"/>
    <w:rsid w:val="0041682D"/>
    <w:rsid w:val="0042368F"/>
    <w:rsid w:val="00424814"/>
    <w:rsid w:val="00425115"/>
    <w:rsid w:val="004261F6"/>
    <w:rsid w:val="0043101B"/>
    <w:rsid w:val="00431305"/>
    <w:rsid w:val="0043260E"/>
    <w:rsid w:val="00432818"/>
    <w:rsid w:val="0043314F"/>
    <w:rsid w:val="0043555B"/>
    <w:rsid w:val="00442195"/>
    <w:rsid w:val="004421B5"/>
    <w:rsid w:val="004429D3"/>
    <w:rsid w:val="00443B1A"/>
    <w:rsid w:val="00444E03"/>
    <w:rsid w:val="0044516D"/>
    <w:rsid w:val="004473E4"/>
    <w:rsid w:val="0045274E"/>
    <w:rsid w:val="004536FE"/>
    <w:rsid w:val="0045445D"/>
    <w:rsid w:val="00455828"/>
    <w:rsid w:val="00455B22"/>
    <w:rsid w:val="004577B1"/>
    <w:rsid w:val="0046283E"/>
    <w:rsid w:val="00463729"/>
    <w:rsid w:val="00464FD4"/>
    <w:rsid w:val="00464FE9"/>
    <w:rsid w:val="00465A57"/>
    <w:rsid w:val="00465AF9"/>
    <w:rsid w:val="004722C7"/>
    <w:rsid w:val="0047617F"/>
    <w:rsid w:val="0048755E"/>
    <w:rsid w:val="00490293"/>
    <w:rsid w:val="0049038F"/>
    <w:rsid w:val="00490443"/>
    <w:rsid w:val="00492E62"/>
    <w:rsid w:val="00496FA7"/>
    <w:rsid w:val="00497784"/>
    <w:rsid w:val="004A1072"/>
    <w:rsid w:val="004A5228"/>
    <w:rsid w:val="004A6E3F"/>
    <w:rsid w:val="004B1739"/>
    <w:rsid w:val="004C25AA"/>
    <w:rsid w:val="004C3546"/>
    <w:rsid w:val="004D3D54"/>
    <w:rsid w:val="004D4542"/>
    <w:rsid w:val="004D6C86"/>
    <w:rsid w:val="004D7959"/>
    <w:rsid w:val="004E30B3"/>
    <w:rsid w:val="004E332D"/>
    <w:rsid w:val="004E4447"/>
    <w:rsid w:val="004E791B"/>
    <w:rsid w:val="004F06A7"/>
    <w:rsid w:val="004F202E"/>
    <w:rsid w:val="004F630F"/>
    <w:rsid w:val="004F72AC"/>
    <w:rsid w:val="00500473"/>
    <w:rsid w:val="005012A3"/>
    <w:rsid w:val="00504AE6"/>
    <w:rsid w:val="00506001"/>
    <w:rsid w:val="0050679E"/>
    <w:rsid w:val="005067F2"/>
    <w:rsid w:val="00511086"/>
    <w:rsid w:val="00511277"/>
    <w:rsid w:val="005129C7"/>
    <w:rsid w:val="00513F0D"/>
    <w:rsid w:val="00516EDA"/>
    <w:rsid w:val="005246F2"/>
    <w:rsid w:val="00525E84"/>
    <w:rsid w:val="00525F9E"/>
    <w:rsid w:val="00527B0F"/>
    <w:rsid w:val="0053019C"/>
    <w:rsid w:val="00530CF0"/>
    <w:rsid w:val="00530FB2"/>
    <w:rsid w:val="00531CEC"/>
    <w:rsid w:val="00532472"/>
    <w:rsid w:val="005328CE"/>
    <w:rsid w:val="00533172"/>
    <w:rsid w:val="005349D6"/>
    <w:rsid w:val="0053501E"/>
    <w:rsid w:val="005364C3"/>
    <w:rsid w:val="005407D2"/>
    <w:rsid w:val="00540874"/>
    <w:rsid w:val="00541AB2"/>
    <w:rsid w:val="00541CA8"/>
    <w:rsid w:val="00542BCB"/>
    <w:rsid w:val="00546380"/>
    <w:rsid w:val="00547AE5"/>
    <w:rsid w:val="00551A2D"/>
    <w:rsid w:val="0055446A"/>
    <w:rsid w:val="00554F75"/>
    <w:rsid w:val="005570BE"/>
    <w:rsid w:val="005615AD"/>
    <w:rsid w:val="005650CE"/>
    <w:rsid w:val="0056711B"/>
    <w:rsid w:val="00567B2A"/>
    <w:rsid w:val="0057512A"/>
    <w:rsid w:val="00576CFC"/>
    <w:rsid w:val="0058196B"/>
    <w:rsid w:val="00582717"/>
    <w:rsid w:val="00583186"/>
    <w:rsid w:val="00583ABE"/>
    <w:rsid w:val="0058555A"/>
    <w:rsid w:val="00585882"/>
    <w:rsid w:val="005873C8"/>
    <w:rsid w:val="005922D2"/>
    <w:rsid w:val="00592365"/>
    <w:rsid w:val="005937E5"/>
    <w:rsid w:val="005961BE"/>
    <w:rsid w:val="005A5E95"/>
    <w:rsid w:val="005A7A9E"/>
    <w:rsid w:val="005B12DD"/>
    <w:rsid w:val="005B433F"/>
    <w:rsid w:val="005B59DA"/>
    <w:rsid w:val="005C0131"/>
    <w:rsid w:val="005C0434"/>
    <w:rsid w:val="005C0B1A"/>
    <w:rsid w:val="005C1A80"/>
    <w:rsid w:val="005C26BD"/>
    <w:rsid w:val="005C2A7B"/>
    <w:rsid w:val="005C30E3"/>
    <w:rsid w:val="005C6A51"/>
    <w:rsid w:val="005D0606"/>
    <w:rsid w:val="005D173B"/>
    <w:rsid w:val="005D698B"/>
    <w:rsid w:val="005D730B"/>
    <w:rsid w:val="005D7388"/>
    <w:rsid w:val="005D7B96"/>
    <w:rsid w:val="005E1F03"/>
    <w:rsid w:val="005E23AB"/>
    <w:rsid w:val="005E41F8"/>
    <w:rsid w:val="005E52C6"/>
    <w:rsid w:val="005E54BD"/>
    <w:rsid w:val="005E69B5"/>
    <w:rsid w:val="005E7D29"/>
    <w:rsid w:val="005F2032"/>
    <w:rsid w:val="005F5179"/>
    <w:rsid w:val="00600197"/>
    <w:rsid w:val="006008BE"/>
    <w:rsid w:val="00602501"/>
    <w:rsid w:val="00603C97"/>
    <w:rsid w:val="006051F9"/>
    <w:rsid w:val="00606F9D"/>
    <w:rsid w:val="00607616"/>
    <w:rsid w:val="00610FC7"/>
    <w:rsid w:val="006142E3"/>
    <w:rsid w:val="006143BF"/>
    <w:rsid w:val="006159AD"/>
    <w:rsid w:val="00616351"/>
    <w:rsid w:val="006250FC"/>
    <w:rsid w:val="00627568"/>
    <w:rsid w:val="00627CE4"/>
    <w:rsid w:val="00630166"/>
    <w:rsid w:val="00635E5B"/>
    <w:rsid w:val="00636CC0"/>
    <w:rsid w:val="006414CF"/>
    <w:rsid w:val="00641B63"/>
    <w:rsid w:val="00644D65"/>
    <w:rsid w:val="006468EF"/>
    <w:rsid w:val="006540CA"/>
    <w:rsid w:val="00654E5B"/>
    <w:rsid w:val="006604C6"/>
    <w:rsid w:val="00670585"/>
    <w:rsid w:val="00670977"/>
    <w:rsid w:val="006745E0"/>
    <w:rsid w:val="0067495B"/>
    <w:rsid w:val="00675293"/>
    <w:rsid w:val="00675C7C"/>
    <w:rsid w:val="00677987"/>
    <w:rsid w:val="006804BD"/>
    <w:rsid w:val="006808AC"/>
    <w:rsid w:val="00681596"/>
    <w:rsid w:val="00684800"/>
    <w:rsid w:val="006A1642"/>
    <w:rsid w:val="006A18F6"/>
    <w:rsid w:val="006A1FE8"/>
    <w:rsid w:val="006A2408"/>
    <w:rsid w:val="006A4B27"/>
    <w:rsid w:val="006A4CEC"/>
    <w:rsid w:val="006A4E1B"/>
    <w:rsid w:val="006B23A0"/>
    <w:rsid w:val="006B2B43"/>
    <w:rsid w:val="006B3713"/>
    <w:rsid w:val="006B71EC"/>
    <w:rsid w:val="006C087D"/>
    <w:rsid w:val="006C1A07"/>
    <w:rsid w:val="006C1FE1"/>
    <w:rsid w:val="006C2D91"/>
    <w:rsid w:val="006C3954"/>
    <w:rsid w:val="006C5227"/>
    <w:rsid w:val="006C744C"/>
    <w:rsid w:val="006D1AD9"/>
    <w:rsid w:val="006D1DC9"/>
    <w:rsid w:val="006D389D"/>
    <w:rsid w:val="006D5469"/>
    <w:rsid w:val="006D654A"/>
    <w:rsid w:val="006D77A0"/>
    <w:rsid w:val="006D7E2D"/>
    <w:rsid w:val="006E004E"/>
    <w:rsid w:val="006E0F48"/>
    <w:rsid w:val="006E2BCD"/>
    <w:rsid w:val="006E3147"/>
    <w:rsid w:val="006E43ED"/>
    <w:rsid w:val="006E5C87"/>
    <w:rsid w:val="006E6842"/>
    <w:rsid w:val="006F035E"/>
    <w:rsid w:val="006F2D71"/>
    <w:rsid w:val="006F34A1"/>
    <w:rsid w:val="006F40FD"/>
    <w:rsid w:val="006F660F"/>
    <w:rsid w:val="006F7DCE"/>
    <w:rsid w:val="00704947"/>
    <w:rsid w:val="00704C54"/>
    <w:rsid w:val="00704DEC"/>
    <w:rsid w:val="00705E6B"/>
    <w:rsid w:val="00706DEE"/>
    <w:rsid w:val="00711DFA"/>
    <w:rsid w:val="007124DE"/>
    <w:rsid w:val="00714E2E"/>
    <w:rsid w:val="00731ECA"/>
    <w:rsid w:val="0073598A"/>
    <w:rsid w:val="007457A4"/>
    <w:rsid w:val="00746A19"/>
    <w:rsid w:val="007513C1"/>
    <w:rsid w:val="00751578"/>
    <w:rsid w:val="00751DE6"/>
    <w:rsid w:val="007534ED"/>
    <w:rsid w:val="00754010"/>
    <w:rsid w:val="007555C4"/>
    <w:rsid w:val="00755635"/>
    <w:rsid w:val="00755E0E"/>
    <w:rsid w:val="00756549"/>
    <w:rsid w:val="00757EF0"/>
    <w:rsid w:val="00760FA6"/>
    <w:rsid w:val="007623F9"/>
    <w:rsid w:val="00762E6B"/>
    <w:rsid w:val="00765944"/>
    <w:rsid w:val="007670A8"/>
    <w:rsid w:val="00767256"/>
    <w:rsid w:val="00774DFD"/>
    <w:rsid w:val="00776F68"/>
    <w:rsid w:val="00777326"/>
    <w:rsid w:val="007778AE"/>
    <w:rsid w:val="0078056B"/>
    <w:rsid w:val="00780B9A"/>
    <w:rsid w:val="007823FD"/>
    <w:rsid w:val="00783461"/>
    <w:rsid w:val="00783C3C"/>
    <w:rsid w:val="0078400E"/>
    <w:rsid w:val="007869E9"/>
    <w:rsid w:val="00786FD8"/>
    <w:rsid w:val="007907EF"/>
    <w:rsid w:val="00791012"/>
    <w:rsid w:val="00792137"/>
    <w:rsid w:val="007926C8"/>
    <w:rsid w:val="00792E31"/>
    <w:rsid w:val="00792EA1"/>
    <w:rsid w:val="007946EF"/>
    <w:rsid w:val="00794988"/>
    <w:rsid w:val="00794D5D"/>
    <w:rsid w:val="00795CAA"/>
    <w:rsid w:val="007A27E2"/>
    <w:rsid w:val="007A3162"/>
    <w:rsid w:val="007A3184"/>
    <w:rsid w:val="007A346A"/>
    <w:rsid w:val="007A71CF"/>
    <w:rsid w:val="007A7AFE"/>
    <w:rsid w:val="007B2E69"/>
    <w:rsid w:val="007B4FDB"/>
    <w:rsid w:val="007B5492"/>
    <w:rsid w:val="007B68D3"/>
    <w:rsid w:val="007B6CD4"/>
    <w:rsid w:val="007B6F48"/>
    <w:rsid w:val="007C1897"/>
    <w:rsid w:val="007C2757"/>
    <w:rsid w:val="007C450A"/>
    <w:rsid w:val="007C7F76"/>
    <w:rsid w:val="007D0C36"/>
    <w:rsid w:val="007D1961"/>
    <w:rsid w:val="007D1BEB"/>
    <w:rsid w:val="007D2360"/>
    <w:rsid w:val="007D360A"/>
    <w:rsid w:val="007D3B91"/>
    <w:rsid w:val="007D4E60"/>
    <w:rsid w:val="007E19EB"/>
    <w:rsid w:val="007E2B2A"/>
    <w:rsid w:val="007F1C22"/>
    <w:rsid w:val="007F49BC"/>
    <w:rsid w:val="007F6858"/>
    <w:rsid w:val="007F68DE"/>
    <w:rsid w:val="007F6904"/>
    <w:rsid w:val="00800751"/>
    <w:rsid w:val="008023D7"/>
    <w:rsid w:val="00803A3D"/>
    <w:rsid w:val="00806400"/>
    <w:rsid w:val="008065E6"/>
    <w:rsid w:val="00806FD9"/>
    <w:rsid w:val="0081305B"/>
    <w:rsid w:val="008177B0"/>
    <w:rsid w:val="00821286"/>
    <w:rsid w:val="0082180C"/>
    <w:rsid w:val="0082272F"/>
    <w:rsid w:val="00822C58"/>
    <w:rsid w:val="00824A73"/>
    <w:rsid w:val="0082659F"/>
    <w:rsid w:val="008301D0"/>
    <w:rsid w:val="00831CEF"/>
    <w:rsid w:val="00832383"/>
    <w:rsid w:val="00832A8D"/>
    <w:rsid w:val="00832F47"/>
    <w:rsid w:val="0083715E"/>
    <w:rsid w:val="00837CA4"/>
    <w:rsid w:val="00837EE3"/>
    <w:rsid w:val="008416F8"/>
    <w:rsid w:val="00847331"/>
    <w:rsid w:val="0085048B"/>
    <w:rsid w:val="00850C64"/>
    <w:rsid w:val="008526E4"/>
    <w:rsid w:val="008534E5"/>
    <w:rsid w:val="00853691"/>
    <w:rsid w:val="00854598"/>
    <w:rsid w:val="00855695"/>
    <w:rsid w:val="00860AC9"/>
    <w:rsid w:val="00860F51"/>
    <w:rsid w:val="0086466E"/>
    <w:rsid w:val="0087232F"/>
    <w:rsid w:val="00873685"/>
    <w:rsid w:val="0087583F"/>
    <w:rsid w:val="00877AA6"/>
    <w:rsid w:val="00880FAD"/>
    <w:rsid w:val="008817F3"/>
    <w:rsid w:val="00883D25"/>
    <w:rsid w:val="00884A76"/>
    <w:rsid w:val="00891E0C"/>
    <w:rsid w:val="00892438"/>
    <w:rsid w:val="00892F59"/>
    <w:rsid w:val="0089332F"/>
    <w:rsid w:val="00894886"/>
    <w:rsid w:val="0089765A"/>
    <w:rsid w:val="008A0782"/>
    <w:rsid w:val="008A2ED3"/>
    <w:rsid w:val="008A6A2E"/>
    <w:rsid w:val="008A7C0A"/>
    <w:rsid w:val="008B0715"/>
    <w:rsid w:val="008B09B3"/>
    <w:rsid w:val="008B1F1D"/>
    <w:rsid w:val="008B5DBF"/>
    <w:rsid w:val="008B7C03"/>
    <w:rsid w:val="008C0FFF"/>
    <w:rsid w:val="008C183E"/>
    <w:rsid w:val="008C204B"/>
    <w:rsid w:val="008C262C"/>
    <w:rsid w:val="008C3D7B"/>
    <w:rsid w:val="008C6646"/>
    <w:rsid w:val="008C79B7"/>
    <w:rsid w:val="008C7AD4"/>
    <w:rsid w:val="008D4697"/>
    <w:rsid w:val="008E000C"/>
    <w:rsid w:val="008F1624"/>
    <w:rsid w:val="008F240C"/>
    <w:rsid w:val="008F3114"/>
    <w:rsid w:val="008F37AC"/>
    <w:rsid w:val="008F4410"/>
    <w:rsid w:val="008F4427"/>
    <w:rsid w:val="008F4578"/>
    <w:rsid w:val="008F61A8"/>
    <w:rsid w:val="008F65D5"/>
    <w:rsid w:val="00901D5C"/>
    <w:rsid w:val="0091206F"/>
    <w:rsid w:val="00914D7C"/>
    <w:rsid w:val="009156EB"/>
    <w:rsid w:val="00916A00"/>
    <w:rsid w:val="00917F8A"/>
    <w:rsid w:val="0092040C"/>
    <w:rsid w:val="00920AF5"/>
    <w:rsid w:val="009234E9"/>
    <w:rsid w:val="0092448C"/>
    <w:rsid w:val="00927F76"/>
    <w:rsid w:val="009303F0"/>
    <w:rsid w:val="009314F1"/>
    <w:rsid w:val="0093231F"/>
    <w:rsid w:val="00936893"/>
    <w:rsid w:val="0094186C"/>
    <w:rsid w:val="00945EF2"/>
    <w:rsid w:val="0094634C"/>
    <w:rsid w:val="00950A26"/>
    <w:rsid w:val="00950C99"/>
    <w:rsid w:val="00952CC4"/>
    <w:rsid w:val="00953371"/>
    <w:rsid w:val="009538A4"/>
    <w:rsid w:val="00953D5E"/>
    <w:rsid w:val="0095579B"/>
    <w:rsid w:val="00957489"/>
    <w:rsid w:val="009615BC"/>
    <w:rsid w:val="00961B63"/>
    <w:rsid w:val="009625FF"/>
    <w:rsid w:val="00964C6F"/>
    <w:rsid w:val="009654E1"/>
    <w:rsid w:val="00966282"/>
    <w:rsid w:val="00966551"/>
    <w:rsid w:val="00973A89"/>
    <w:rsid w:val="00976A13"/>
    <w:rsid w:val="009800FA"/>
    <w:rsid w:val="0098420B"/>
    <w:rsid w:val="00986E40"/>
    <w:rsid w:val="0098753E"/>
    <w:rsid w:val="00992999"/>
    <w:rsid w:val="00992E61"/>
    <w:rsid w:val="00993477"/>
    <w:rsid w:val="009A035D"/>
    <w:rsid w:val="009A43DB"/>
    <w:rsid w:val="009A7437"/>
    <w:rsid w:val="009B341D"/>
    <w:rsid w:val="009B367C"/>
    <w:rsid w:val="009B45E3"/>
    <w:rsid w:val="009B653D"/>
    <w:rsid w:val="009C1329"/>
    <w:rsid w:val="009C1765"/>
    <w:rsid w:val="009C1C7D"/>
    <w:rsid w:val="009C1EFC"/>
    <w:rsid w:val="009C5617"/>
    <w:rsid w:val="009C574D"/>
    <w:rsid w:val="009C7663"/>
    <w:rsid w:val="009D4940"/>
    <w:rsid w:val="009D57D7"/>
    <w:rsid w:val="009E0237"/>
    <w:rsid w:val="009E122E"/>
    <w:rsid w:val="009E21FF"/>
    <w:rsid w:val="009E3C62"/>
    <w:rsid w:val="009E41C4"/>
    <w:rsid w:val="009E47FF"/>
    <w:rsid w:val="009E52C7"/>
    <w:rsid w:val="009E57EA"/>
    <w:rsid w:val="009E5F5A"/>
    <w:rsid w:val="009F15A8"/>
    <w:rsid w:val="009F1941"/>
    <w:rsid w:val="009F3404"/>
    <w:rsid w:val="009F432F"/>
    <w:rsid w:val="009F467C"/>
    <w:rsid w:val="009F4CB4"/>
    <w:rsid w:val="00A00324"/>
    <w:rsid w:val="00A0389E"/>
    <w:rsid w:val="00A04FC5"/>
    <w:rsid w:val="00A066C0"/>
    <w:rsid w:val="00A075AE"/>
    <w:rsid w:val="00A076CD"/>
    <w:rsid w:val="00A1196C"/>
    <w:rsid w:val="00A14267"/>
    <w:rsid w:val="00A15157"/>
    <w:rsid w:val="00A17DD8"/>
    <w:rsid w:val="00A21905"/>
    <w:rsid w:val="00A22DEF"/>
    <w:rsid w:val="00A2664A"/>
    <w:rsid w:val="00A27D23"/>
    <w:rsid w:val="00A367A0"/>
    <w:rsid w:val="00A36C0B"/>
    <w:rsid w:val="00A410E5"/>
    <w:rsid w:val="00A42DC5"/>
    <w:rsid w:val="00A43279"/>
    <w:rsid w:val="00A44CF1"/>
    <w:rsid w:val="00A458BB"/>
    <w:rsid w:val="00A46B9F"/>
    <w:rsid w:val="00A471B6"/>
    <w:rsid w:val="00A475D5"/>
    <w:rsid w:val="00A47642"/>
    <w:rsid w:val="00A47BC3"/>
    <w:rsid w:val="00A50532"/>
    <w:rsid w:val="00A50851"/>
    <w:rsid w:val="00A52D82"/>
    <w:rsid w:val="00A535BE"/>
    <w:rsid w:val="00A53FCB"/>
    <w:rsid w:val="00A54FEC"/>
    <w:rsid w:val="00A55FB4"/>
    <w:rsid w:val="00A563BE"/>
    <w:rsid w:val="00A60E4E"/>
    <w:rsid w:val="00A6123F"/>
    <w:rsid w:val="00A6167D"/>
    <w:rsid w:val="00A61B7D"/>
    <w:rsid w:val="00A63B4D"/>
    <w:rsid w:val="00A65DD6"/>
    <w:rsid w:val="00A65F06"/>
    <w:rsid w:val="00A6606A"/>
    <w:rsid w:val="00A666A0"/>
    <w:rsid w:val="00A71ABD"/>
    <w:rsid w:val="00A7608B"/>
    <w:rsid w:val="00A805BE"/>
    <w:rsid w:val="00A812BC"/>
    <w:rsid w:val="00A81B3F"/>
    <w:rsid w:val="00A8251C"/>
    <w:rsid w:val="00A82FDC"/>
    <w:rsid w:val="00A86784"/>
    <w:rsid w:val="00A87385"/>
    <w:rsid w:val="00A91B38"/>
    <w:rsid w:val="00A91C1E"/>
    <w:rsid w:val="00A92770"/>
    <w:rsid w:val="00A93512"/>
    <w:rsid w:val="00A96589"/>
    <w:rsid w:val="00AB10FB"/>
    <w:rsid w:val="00AB287D"/>
    <w:rsid w:val="00AB2BF8"/>
    <w:rsid w:val="00AB3659"/>
    <w:rsid w:val="00AC1000"/>
    <w:rsid w:val="00AC1336"/>
    <w:rsid w:val="00AC1A23"/>
    <w:rsid w:val="00AC5B51"/>
    <w:rsid w:val="00AC6019"/>
    <w:rsid w:val="00AC6CEE"/>
    <w:rsid w:val="00AD1F55"/>
    <w:rsid w:val="00AD2FF7"/>
    <w:rsid w:val="00AD3A6D"/>
    <w:rsid w:val="00AD54DC"/>
    <w:rsid w:val="00AD6DEB"/>
    <w:rsid w:val="00AE015F"/>
    <w:rsid w:val="00AE09A5"/>
    <w:rsid w:val="00AE09F9"/>
    <w:rsid w:val="00AE3E0A"/>
    <w:rsid w:val="00AE3F7B"/>
    <w:rsid w:val="00AE57E8"/>
    <w:rsid w:val="00AE5A0E"/>
    <w:rsid w:val="00AE6106"/>
    <w:rsid w:val="00AF1AB5"/>
    <w:rsid w:val="00AF2B70"/>
    <w:rsid w:val="00AF4030"/>
    <w:rsid w:val="00AF4588"/>
    <w:rsid w:val="00AF45F2"/>
    <w:rsid w:val="00AF4692"/>
    <w:rsid w:val="00AF4DA4"/>
    <w:rsid w:val="00AF6ADC"/>
    <w:rsid w:val="00AF6DBE"/>
    <w:rsid w:val="00B00250"/>
    <w:rsid w:val="00B0404A"/>
    <w:rsid w:val="00B13EB0"/>
    <w:rsid w:val="00B14A52"/>
    <w:rsid w:val="00B16505"/>
    <w:rsid w:val="00B17657"/>
    <w:rsid w:val="00B201E3"/>
    <w:rsid w:val="00B22082"/>
    <w:rsid w:val="00B229A8"/>
    <w:rsid w:val="00B23B53"/>
    <w:rsid w:val="00B24EBC"/>
    <w:rsid w:val="00B25111"/>
    <w:rsid w:val="00B25A0C"/>
    <w:rsid w:val="00B260ED"/>
    <w:rsid w:val="00B2628C"/>
    <w:rsid w:val="00B30DF7"/>
    <w:rsid w:val="00B310DB"/>
    <w:rsid w:val="00B339EE"/>
    <w:rsid w:val="00B33AC0"/>
    <w:rsid w:val="00B344DF"/>
    <w:rsid w:val="00B360AA"/>
    <w:rsid w:val="00B360E8"/>
    <w:rsid w:val="00B40DCE"/>
    <w:rsid w:val="00B428C6"/>
    <w:rsid w:val="00B44906"/>
    <w:rsid w:val="00B459A7"/>
    <w:rsid w:val="00B46754"/>
    <w:rsid w:val="00B47736"/>
    <w:rsid w:val="00B54E06"/>
    <w:rsid w:val="00B55FCB"/>
    <w:rsid w:val="00B56239"/>
    <w:rsid w:val="00B56342"/>
    <w:rsid w:val="00B57683"/>
    <w:rsid w:val="00B60310"/>
    <w:rsid w:val="00B616F9"/>
    <w:rsid w:val="00B63484"/>
    <w:rsid w:val="00B6358B"/>
    <w:rsid w:val="00B64CBE"/>
    <w:rsid w:val="00B71897"/>
    <w:rsid w:val="00B74688"/>
    <w:rsid w:val="00B7503E"/>
    <w:rsid w:val="00B815FD"/>
    <w:rsid w:val="00B8285F"/>
    <w:rsid w:val="00B84B55"/>
    <w:rsid w:val="00B8594F"/>
    <w:rsid w:val="00B87494"/>
    <w:rsid w:val="00B9203A"/>
    <w:rsid w:val="00B95C88"/>
    <w:rsid w:val="00BA1599"/>
    <w:rsid w:val="00BA17D6"/>
    <w:rsid w:val="00BA4772"/>
    <w:rsid w:val="00BB45AD"/>
    <w:rsid w:val="00BB64A9"/>
    <w:rsid w:val="00BB73F8"/>
    <w:rsid w:val="00BC0601"/>
    <w:rsid w:val="00BC1286"/>
    <w:rsid w:val="00BC33B4"/>
    <w:rsid w:val="00BC3D23"/>
    <w:rsid w:val="00BC3E76"/>
    <w:rsid w:val="00BC554E"/>
    <w:rsid w:val="00BC660F"/>
    <w:rsid w:val="00BC69B7"/>
    <w:rsid w:val="00BD1767"/>
    <w:rsid w:val="00BD26C0"/>
    <w:rsid w:val="00BD2950"/>
    <w:rsid w:val="00BD2CA4"/>
    <w:rsid w:val="00BD368D"/>
    <w:rsid w:val="00BD4A9C"/>
    <w:rsid w:val="00BD5CBF"/>
    <w:rsid w:val="00BD62A1"/>
    <w:rsid w:val="00BD65D2"/>
    <w:rsid w:val="00BE5647"/>
    <w:rsid w:val="00BF018C"/>
    <w:rsid w:val="00BF07A6"/>
    <w:rsid w:val="00BF0AC1"/>
    <w:rsid w:val="00BF1D30"/>
    <w:rsid w:val="00BF5044"/>
    <w:rsid w:val="00BF57CC"/>
    <w:rsid w:val="00C00237"/>
    <w:rsid w:val="00C002A6"/>
    <w:rsid w:val="00C00B68"/>
    <w:rsid w:val="00C02EE5"/>
    <w:rsid w:val="00C03257"/>
    <w:rsid w:val="00C0692F"/>
    <w:rsid w:val="00C11523"/>
    <w:rsid w:val="00C22ABD"/>
    <w:rsid w:val="00C23289"/>
    <w:rsid w:val="00C2353B"/>
    <w:rsid w:val="00C24F56"/>
    <w:rsid w:val="00C2502B"/>
    <w:rsid w:val="00C269AD"/>
    <w:rsid w:val="00C27221"/>
    <w:rsid w:val="00C33753"/>
    <w:rsid w:val="00C35EF4"/>
    <w:rsid w:val="00C36FD2"/>
    <w:rsid w:val="00C37B76"/>
    <w:rsid w:val="00C37D3C"/>
    <w:rsid w:val="00C401EF"/>
    <w:rsid w:val="00C5146A"/>
    <w:rsid w:val="00C548E0"/>
    <w:rsid w:val="00C60F57"/>
    <w:rsid w:val="00C629A8"/>
    <w:rsid w:val="00C641F0"/>
    <w:rsid w:val="00C65D74"/>
    <w:rsid w:val="00C65E53"/>
    <w:rsid w:val="00C67E09"/>
    <w:rsid w:val="00C758C0"/>
    <w:rsid w:val="00C815B0"/>
    <w:rsid w:val="00C82055"/>
    <w:rsid w:val="00C823B7"/>
    <w:rsid w:val="00C83535"/>
    <w:rsid w:val="00C86AEF"/>
    <w:rsid w:val="00C87559"/>
    <w:rsid w:val="00C87CDE"/>
    <w:rsid w:val="00C90C3B"/>
    <w:rsid w:val="00C90D52"/>
    <w:rsid w:val="00C91EC4"/>
    <w:rsid w:val="00C9290F"/>
    <w:rsid w:val="00C92D3D"/>
    <w:rsid w:val="00C94C95"/>
    <w:rsid w:val="00C94F27"/>
    <w:rsid w:val="00C96DA1"/>
    <w:rsid w:val="00CA002C"/>
    <w:rsid w:val="00CA2D17"/>
    <w:rsid w:val="00CA4E02"/>
    <w:rsid w:val="00CA5D2A"/>
    <w:rsid w:val="00CA63B6"/>
    <w:rsid w:val="00CA7B61"/>
    <w:rsid w:val="00CB041B"/>
    <w:rsid w:val="00CB1E6A"/>
    <w:rsid w:val="00CB2DC7"/>
    <w:rsid w:val="00CB3A6F"/>
    <w:rsid w:val="00CB70A4"/>
    <w:rsid w:val="00CC0B76"/>
    <w:rsid w:val="00CC46D6"/>
    <w:rsid w:val="00CD160B"/>
    <w:rsid w:val="00CD1F73"/>
    <w:rsid w:val="00CD209C"/>
    <w:rsid w:val="00CD3A9C"/>
    <w:rsid w:val="00CD44DE"/>
    <w:rsid w:val="00CD49BE"/>
    <w:rsid w:val="00CD5CEE"/>
    <w:rsid w:val="00CE05B4"/>
    <w:rsid w:val="00CE1851"/>
    <w:rsid w:val="00CE3D5C"/>
    <w:rsid w:val="00CE4962"/>
    <w:rsid w:val="00CF0392"/>
    <w:rsid w:val="00CF12E9"/>
    <w:rsid w:val="00CF20B4"/>
    <w:rsid w:val="00CF336F"/>
    <w:rsid w:val="00CF3EEB"/>
    <w:rsid w:val="00CF523C"/>
    <w:rsid w:val="00D02756"/>
    <w:rsid w:val="00D03211"/>
    <w:rsid w:val="00D04849"/>
    <w:rsid w:val="00D05F43"/>
    <w:rsid w:val="00D0614C"/>
    <w:rsid w:val="00D10D69"/>
    <w:rsid w:val="00D127A6"/>
    <w:rsid w:val="00D12A32"/>
    <w:rsid w:val="00D142D2"/>
    <w:rsid w:val="00D148DD"/>
    <w:rsid w:val="00D15A34"/>
    <w:rsid w:val="00D166A7"/>
    <w:rsid w:val="00D168BE"/>
    <w:rsid w:val="00D16FDB"/>
    <w:rsid w:val="00D21670"/>
    <w:rsid w:val="00D23A77"/>
    <w:rsid w:val="00D279A6"/>
    <w:rsid w:val="00D27AAF"/>
    <w:rsid w:val="00D30AB5"/>
    <w:rsid w:val="00D31E4F"/>
    <w:rsid w:val="00D32AF5"/>
    <w:rsid w:val="00D35B57"/>
    <w:rsid w:val="00D36C21"/>
    <w:rsid w:val="00D3781E"/>
    <w:rsid w:val="00D40A34"/>
    <w:rsid w:val="00D42CC9"/>
    <w:rsid w:val="00D43338"/>
    <w:rsid w:val="00D4435A"/>
    <w:rsid w:val="00D44893"/>
    <w:rsid w:val="00D461AD"/>
    <w:rsid w:val="00D4686C"/>
    <w:rsid w:val="00D47CA2"/>
    <w:rsid w:val="00D54A46"/>
    <w:rsid w:val="00D601E8"/>
    <w:rsid w:val="00D61279"/>
    <w:rsid w:val="00D6204C"/>
    <w:rsid w:val="00D64F3E"/>
    <w:rsid w:val="00D6654F"/>
    <w:rsid w:val="00D66DEF"/>
    <w:rsid w:val="00D7557A"/>
    <w:rsid w:val="00D767AA"/>
    <w:rsid w:val="00D76A84"/>
    <w:rsid w:val="00D8076F"/>
    <w:rsid w:val="00D82C7A"/>
    <w:rsid w:val="00D84BD9"/>
    <w:rsid w:val="00D8617A"/>
    <w:rsid w:val="00D8767B"/>
    <w:rsid w:val="00D87BC6"/>
    <w:rsid w:val="00D92844"/>
    <w:rsid w:val="00D938A8"/>
    <w:rsid w:val="00D9554D"/>
    <w:rsid w:val="00D962E9"/>
    <w:rsid w:val="00DA025D"/>
    <w:rsid w:val="00DA1825"/>
    <w:rsid w:val="00DA52BC"/>
    <w:rsid w:val="00DA7394"/>
    <w:rsid w:val="00DB158C"/>
    <w:rsid w:val="00DB169B"/>
    <w:rsid w:val="00DB1A5A"/>
    <w:rsid w:val="00DB53A6"/>
    <w:rsid w:val="00DB7959"/>
    <w:rsid w:val="00DB7B9D"/>
    <w:rsid w:val="00DC0D5B"/>
    <w:rsid w:val="00DC1D6E"/>
    <w:rsid w:val="00DC38CA"/>
    <w:rsid w:val="00DC3CA5"/>
    <w:rsid w:val="00DC576A"/>
    <w:rsid w:val="00DD353B"/>
    <w:rsid w:val="00DD3ABE"/>
    <w:rsid w:val="00DD43C6"/>
    <w:rsid w:val="00DE5DF4"/>
    <w:rsid w:val="00DE62B7"/>
    <w:rsid w:val="00DF1D7E"/>
    <w:rsid w:val="00DF1ED7"/>
    <w:rsid w:val="00DF6337"/>
    <w:rsid w:val="00DF6903"/>
    <w:rsid w:val="00E0515E"/>
    <w:rsid w:val="00E06902"/>
    <w:rsid w:val="00E074D8"/>
    <w:rsid w:val="00E10402"/>
    <w:rsid w:val="00E107C2"/>
    <w:rsid w:val="00E11852"/>
    <w:rsid w:val="00E11E7C"/>
    <w:rsid w:val="00E12219"/>
    <w:rsid w:val="00E164BC"/>
    <w:rsid w:val="00E17397"/>
    <w:rsid w:val="00E17C32"/>
    <w:rsid w:val="00E17E2E"/>
    <w:rsid w:val="00E20721"/>
    <w:rsid w:val="00E20EDA"/>
    <w:rsid w:val="00E21C01"/>
    <w:rsid w:val="00E22F04"/>
    <w:rsid w:val="00E24E3E"/>
    <w:rsid w:val="00E253AA"/>
    <w:rsid w:val="00E2728B"/>
    <w:rsid w:val="00E31C18"/>
    <w:rsid w:val="00E33A01"/>
    <w:rsid w:val="00E40234"/>
    <w:rsid w:val="00E420D9"/>
    <w:rsid w:val="00E426AE"/>
    <w:rsid w:val="00E4280A"/>
    <w:rsid w:val="00E42943"/>
    <w:rsid w:val="00E4378C"/>
    <w:rsid w:val="00E43E42"/>
    <w:rsid w:val="00E46663"/>
    <w:rsid w:val="00E50611"/>
    <w:rsid w:val="00E527C4"/>
    <w:rsid w:val="00E56263"/>
    <w:rsid w:val="00E563BC"/>
    <w:rsid w:val="00E56AF1"/>
    <w:rsid w:val="00E6026C"/>
    <w:rsid w:val="00E61262"/>
    <w:rsid w:val="00E63C4F"/>
    <w:rsid w:val="00E66D98"/>
    <w:rsid w:val="00E70D76"/>
    <w:rsid w:val="00E717A8"/>
    <w:rsid w:val="00E77FCF"/>
    <w:rsid w:val="00E80580"/>
    <w:rsid w:val="00E80C62"/>
    <w:rsid w:val="00E80C6B"/>
    <w:rsid w:val="00E8353A"/>
    <w:rsid w:val="00E86E1F"/>
    <w:rsid w:val="00E870B1"/>
    <w:rsid w:val="00E909C6"/>
    <w:rsid w:val="00E91D03"/>
    <w:rsid w:val="00E93722"/>
    <w:rsid w:val="00E94B51"/>
    <w:rsid w:val="00E9582B"/>
    <w:rsid w:val="00E966B4"/>
    <w:rsid w:val="00E96A91"/>
    <w:rsid w:val="00EA027F"/>
    <w:rsid w:val="00EA1AAC"/>
    <w:rsid w:val="00EA24DF"/>
    <w:rsid w:val="00EA3425"/>
    <w:rsid w:val="00EA63D8"/>
    <w:rsid w:val="00EB60A3"/>
    <w:rsid w:val="00EC12D6"/>
    <w:rsid w:val="00EC18BE"/>
    <w:rsid w:val="00EC3F06"/>
    <w:rsid w:val="00EC6A5C"/>
    <w:rsid w:val="00ED2E76"/>
    <w:rsid w:val="00ED5307"/>
    <w:rsid w:val="00EE34D2"/>
    <w:rsid w:val="00EE624A"/>
    <w:rsid w:val="00EE732E"/>
    <w:rsid w:val="00EF0D39"/>
    <w:rsid w:val="00EF5D9C"/>
    <w:rsid w:val="00F018AA"/>
    <w:rsid w:val="00F03F79"/>
    <w:rsid w:val="00F0479F"/>
    <w:rsid w:val="00F06DFD"/>
    <w:rsid w:val="00F100E2"/>
    <w:rsid w:val="00F120C8"/>
    <w:rsid w:val="00F13648"/>
    <w:rsid w:val="00F137C8"/>
    <w:rsid w:val="00F15E48"/>
    <w:rsid w:val="00F1619A"/>
    <w:rsid w:val="00F1621F"/>
    <w:rsid w:val="00F16505"/>
    <w:rsid w:val="00F166EA"/>
    <w:rsid w:val="00F172E4"/>
    <w:rsid w:val="00F1748E"/>
    <w:rsid w:val="00F204DA"/>
    <w:rsid w:val="00F21056"/>
    <w:rsid w:val="00F215A0"/>
    <w:rsid w:val="00F236AC"/>
    <w:rsid w:val="00F249C3"/>
    <w:rsid w:val="00F268E8"/>
    <w:rsid w:val="00F27765"/>
    <w:rsid w:val="00F311EE"/>
    <w:rsid w:val="00F31B72"/>
    <w:rsid w:val="00F3299A"/>
    <w:rsid w:val="00F32B86"/>
    <w:rsid w:val="00F357BC"/>
    <w:rsid w:val="00F35907"/>
    <w:rsid w:val="00F359EA"/>
    <w:rsid w:val="00F4594A"/>
    <w:rsid w:val="00F47688"/>
    <w:rsid w:val="00F4787A"/>
    <w:rsid w:val="00F47AE1"/>
    <w:rsid w:val="00F54207"/>
    <w:rsid w:val="00F54963"/>
    <w:rsid w:val="00F54BBA"/>
    <w:rsid w:val="00F54BDD"/>
    <w:rsid w:val="00F57011"/>
    <w:rsid w:val="00F60D20"/>
    <w:rsid w:val="00F6124E"/>
    <w:rsid w:val="00F6415F"/>
    <w:rsid w:val="00F646A8"/>
    <w:rsid w:val="00F7286B"/>
    <w:rsid w:val="00F74722"/>
    <w:rsid w:val="00F80EEB"/>
    <w:rsid w:val="00F81558"/>
    <w:rsid w:val="00F81664"/>
    <w:rsid w:val="00F822EA"/>
    <w:rsid w:val="00F828A6"/>
    <w:rsid w:val="00F8414B"/>
    <w:rsid w:val="00F8424F"/>
    <w:rsid w:val="00F84389"/>
    <w:rsid w:val="00F844DB"/>
    <w:rsid w:val="00F84848"/>
    <w:rsid w:val="00F862AC"/>
    <w:rsid w:val="00F86DA9"/>
    <w:rsid w:val="00F87617"/>
    <w:rsid w:val="00F87E38"/>
    <w:rsid w:val="00F912DF"/>
    <w:rsid w:val="00F93D1C"/>
    <w:rsid w:val="00F95833"/>
    <w:rsid w:val="00FA069C"/>
    <w:rsid w:val="00FA08F9"/>
    <w:rsid w:val="00FA39CF"/>
    <w:rsid w:val="00FB0A9B"/>
    <w:rsid w:val="00FB1013"/>
    <w:rsid w:val="00FB1255"/>
    <w:rsid w:val="00FB2068"/>
    <w:rsid w:val="00FB2CE7"/>
    <w:rsid w:val="00FB38DA"/>
    <w:rsid w:val="00FB6973"/>
    <w:rsid w:val="00FB6E45"/>
    <w:rsid w:val="00FC152D"/>
    <w:rsid w:val="00FC29EE"/>
    <w:rsid w:val="00FC4185"/>
    <w:rsid w:val="00FC56EA"/>
    <w:rsid w:val="00FD1086"/>
    <w:rsid w:val="00FD2288"/>
    <w:rsid w:val="00FD4158"/>
    <w:rsid w:val="00FD4AF4"/>
    <w:rsid w:val="00FE0E08"/>
    <w:rsid w:val="00FE3E22"/>
    <w:rsid w:val="00FE44D6"/>
    <w:rsid w:val="00FE6699"/>
    <w:rsid w:val="00FF1001"/>
    <w:rsid w:val="00FF2E86"/>
    <w:rsid w:val="00FF4B8E"/>
    <w:rsid w:val="00FF4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9FF962"/>
  <w15:docId w15:val="{337D64B8-972B-433F-B3EF-BDD84045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D5C"/>
    <w:pPr>
      <w:spacing w:after="200" w:line="276" w:lineRule="auto"/>
      <w:jc w:val="both"/>
    </w:pPr>
    <w:rPr>
      <w:rFonts w:cs="Calibri"/>
      <w:sz w:val="22"/>
      <w:szCs w:val="22"/>
      <w:lang w:val="en-US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6E6842"/>
    <w:pPr>
      <w:keepNext/>
      <w:numPr>
        <w:numId w:val="3"/>
      </w:numPr>
      <w:spacing w:after="0"/>
      <w:ind w:left="431" w:hanging="431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4787A"/>
    <w:pPr>
      <w:keepNext/>
      <w:keepLines/>
      <w:numPr>
        <w:ilvl w:val="1"/>
        <w:numId w:val="3"/>
      </w:numPr>
      <w:spacing w:after="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46EF"/>
    <w:pPr>
      <w:keepNext/>
      <w:keepLines/>
      <w:numPr>
        <w:ilvl w:val="2"/>
        <w:numId w:val="3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7946EF"/>
    <w:pPr>
      <w:keepNext/>
      <w:keepLines/>
      <w:numPr>
        <w:ilvl w:val="3"/>
        <w:numId w:val="3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F4787A"/>
    <w:pPr>
      <w:keepNext/>
      <w:keepLines/>
      <w:numPr>
        <w:ilvl w:val="4"/>
        <w:numId w:val="3"/>
      </w:numPr>
      <w:spacing w:before="200" w:after="0"/>
      <w:outlineLvl w:val="4"/>
    </w:pPr>
    <w:rPr>
      <w:rFonts w:ascii="Cambria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7946EF"/>
    <w:pPr>
      <w:keepNext/>
      <w:keepLines/>
      <w:numPr>
        <w:ilvl w:val="5"/>
        <w:numId w:val="3"/>
      </w:numPr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7946EF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7946EF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F4787A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E6842"/>
    <w:rPr>
      <w:rFonts w:cs="Calibri"/>
      <w:b/>
      <w:bCs/>
      <w:sz w:val="28"/>
      <w:szCs w:val="28"/>
      <w:lang w:val="en-US"/>
    </w:rPr>
  </w:style>
  <w:style w:type="character" w:customStyle="1" w:styleId="Nadpis2Char">
    <w:name w:val="Nadpis 2 Char"/>
    <w:link w:val="Nadpis2"/>
    <w:uiPriority w:val="99"/>
    <w:rsid w:val="00F4787A"/>
    <w:rPr>
      <w:rFonts w:cs="Calibri"/>
      <w:b/>
      <w:bCs/>
      <w:sz w:val="24"/>
      <w:szCs w:val="24"/>
    </w:rPr>
  </w:style>
  <w:style w:type="character" w:customStyle="1" w:styleId="Nadpis3Char">
    <w:name w:val="Nadpis 3 Char"/>
    <w:link w:val="Nadpis3"/>
    <w:uiPriority w:val="99"/>
    <w:semiHidden/>
    <w:rsid w:val="007946EF"/>
    <w:rPr>
      <w:rFonts w:ascii="Cambria" w:hAnsi="Cambria" w:cs="Cambria"/>
      <w:b/>
      <w:bCs/>
      <w:color w:val="4F81BD"/>
    </w:rPr>
  </w:style>
  <w:style w:type="character" w:customStyle="1" w:styleId="Nadpis4Char">
    <w:name w:val="Nadpis 4 Char"/>
    <w:link w:val="Nadpis4"/>
    <w:uiPriority w:val="99"/>
    <w:semiHidden/>
    <w:rsid w:val="007946EF"/>
    <w:rPr>
      <w:rFonts w:ascii="Cambria" w:hAnsi="Cambria" w:cs="Cambria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semiHidden/>
    <w:rsid w:val="00F4787A"/>
    <w:rPr>
      <w:rFonts w:ascii="Cambria" w:hAnsi="Cambria" w:cs="Cambria"/>
      <w:color w:val="243F60"/>
    </w:rPr>
  </w:style>
  <w:style w:type="character" w:customStyle="1" w:styleId="Nadpis6Char">
    <w:name w:val="Nadpis 6 Char"/>
    <w:link w:val="Nadpis6"/>
    <w:uiPriority w:val="99"/>
    <w:semiHidden/>
    <w:rsid w:val="007946EF"/>
    <w:rPr>
      <w:rFonts w:ascii="Cambria" w:hAnsi="Cambria" w:cs="Cambria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rsid w:val="007946EF"/>
    <w:rPr>
      <w:rFonts w:ascii="Cambria" w:hAnsi="Cambria" w:cs="Cambria"/>
      <w:i/>
      <w:iCs/>
      <w:color w:val="404040"/>
    </w:rPr>
  </w:style>
  <w:style w:type="character" w:customStyle="1" w:styleId="Nadpis8Char">
    <w:name w:val="Nadpis 8 Char"/>
    <w:link w:val="Nadpis8"/>
    <w:uiPriority w:val="99"/>
    <w:semiHidden/>
    <w:rsid w:val="007946EF"/>
    <w:rPr>
      <w:rFonts w:ascii="Cambria" w:hAnsi="Cambria" w:cs="Cambria"/>
      <w:color w:val="404040"/>
      <w:sz w:val="20"/>
      <w:szCs w:val="20"/>
    </w:rPr>
  </w:style>
  <w:style w:type="character" w:customStyle="1" w:styleId="Nadpis9Char">
    <w:name w:val="Nadpis 9 Char"/>
    <w:link w:val="Nadpis9"/>
    <w:uiPriority w:val="99"/>
    <w:semiHidden/>
    <w:rsid w:val="00F4787A"/>
    <w:rPr>
      <w:rFonts w:ascii="Cambria" w:hAnsi="Cambria" w:cs="Cambria"/>
      <w:i/>
      <w:iCs/>
      <w:color w:val="40404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805B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F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4787A"/>
  </w:style>
  <w:style w:type="paragraph" w:styleId="Zpat">
    <w:name w:val="footer"/>
    <w:basedOn w:val="Normln"/>
    <w:link w:val="ZpatChar"/>
    <w:uiPriority w:val="99"/>
    <w:semiHidden/>
    <w:rsid w:val="00F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4787A"/>
  </w:style>
  <w:style w:type="character" w:styleId="slostrnky">
    <w:name w:val="page number"/>
    <w:basedOn w:val="Standardnpsmoodstavce"/>
    <w:uiPriority w:val="99"/>
    <w:semiHidden/>
    <w:rsid w:val="00F4787A"/>
  </w:style>
  <w:style w:type="paragraph" w:styleId="Nadpisobsahu">
    <w:name w:val="TOC Heading"/>
    <w:basedOn w:val="Nadpis1"/>
    <w:next w:val="Normln"/>
    <w:uiPriority w:val="99"/>
    <w:qFormat/>
    <w:rsid w:val="00F4787A"/>
    <w:pPr>
      <w:keepLines/>
      <w:numPr>
        <w:numId w:val="0"/>
      </w:numPr>
      <w:spacing w:before="480"/>
      <w:contextualSpacing w:val="0"/>
      <w:outlineLvl w:val="9"/>
    </w:pPr>
    <w:rPr>
      <w:rFonts w:ascii="Cambria" w:hAnsi="Cambria" w:cs="Cambria"/>
      <w:color w:val="365F91"/>
    </w:rPr>
  </w:style>
  <w:style w:type="paragraph" w:styleId="Obsah1">
    <w:name w:val="toc 1"/>
    <w:basedOn w:val="Normln"/>
    <w:next w:val="Normln"/>
    <w:autoRedefine/>
    <w:uiPriority w:val="39"/>
    <w:rsid w:val="00783C3C"/>
    <w:pPr>
      <w:tabs>
        <w:tab w:val="left" w:pos="440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rsid w:val="00F4787A"/>
    <w:pPr>
      <w:spacing w:after="100"/>
      <w:ind w:left="220"/>
    </w:pPr>
  </w:style>
  <w:style w:type="character" w:styleId="Hypertextovodkaz">
    <w:name w:val="Hyperlink"/>
    <w:uiPriority w:val="99"/>
    <w:rsid w:val="00F4787A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F1D7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ZkladntextChar">
    <w:name w:val="Základní text Char"/>
    <w:link w:val="Zkladntext"/>
    <w:uiPriority w:val="99"/>
    <w:rsid w:val="00DF1D7E"/>
    <w:rPr>
      <w:rFonts w:ascii="Times New Roman" w:hAnsi="Times New Roman" w:cs="Times New Roman"/>
      <w:sz w:val="20"/>
      <w:szCs w:val="20"/>
      <w:lang w:val="en-US" w:eastAsia="cs-CZ"/>
    </w:rPr>
  </w:style>
  <w:style w:type="paragraph" w:customStyle="1" w:styleId="nzevobratab">
    <w:name w:val="název_obr.a_tab."/>
    <w:basedOn w:val="Normln"/>
    <w:uiPriority w:val="99"/>
    <w:rsid w:val="00DF1D7E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hAnsi="Arial" w:cs="Arial"/>
      <w:b/>
      <w:bCs/>
      <w:sz w:val="24"/>
      <w:szCs w:val="24"/>
    </w:rPr>
  </w:style>
  <w:style w:type="paragraph" w:styleId="Normlnweb">
    <w:name w:val="Normal (Web)"/>
    <w:basedOn w:val="Normln"/>
    <w:uiPriority w:val="99"/>
    <w:rsid w:val="00C65D74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C65D74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65D74"/>
    <w:rPr>
      <w:rFonts w:ascii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uiPriority w:val="99"/>
    <w:semiHidden/>
    <w:rsid w:val="00C65D74"/>
    <w:rPr>
      <w:vertAlign w:val="superscript"/>
    </w:rPr>
  </w:style>
  <w:style w:type="table" w:styleId="Mkatabulky">
    <w:name w:val="Table Grid"/>
    <w:basedOn w:val="Normlntabulka"/>
    <w:uiPriority w:val="39"/>
    <w:rsid w:val="005E69B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8F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1624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A535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535B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53834"/>
    <w:rPr>
      <w:rFonts w:cs="Calibri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535B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53834"/>
    <w:rPr>
      <w:rFonts w:cs="Calibri"/>
      <w:b/>
      <w:bCs/>
      <w:sz w:val="20"/>
      <w:szCs w:val="20"/>
      <w:lang w:val="cs-CZ" w:eastAsia="cs-CZ"/>
    </w:rPr>
  </w:style>
  <w:style w:type="paragraph" w:customStyle="1" w:styleId="Default">
    <w:name w:val="Default"/>
    <w:rsid w:val="007C27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D42CC9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3F50AC"/>
    <w:rPr>
      <w:color w:val="800080" w:themeColor="followedHyperlink"/>
      <w:u w:val="single"/>
    </w:rPr>
  </w:style>
  <w:style w:type="paragraph" w:customStyle="1" w:styleId="Reference">
    <w:name w:val="Reference"/>
    <w:basedOn w:val="Normln"/>
    <w:rsid w:val="007A346A"/>
    <w:pPr>
      <w:numPr>
        <w:numId w:val="21"/>
      </w:numPr>
    </w:pPr>
  </w:style>
  <w:style w:type="paragraph" w:styleId="Revize">
    <w:name w:val="Revision"/>
    <w:hidden/>
    <w:uiPriority w:val="99"/>
    <w:semiHidden/>
    <w:rsid w:val="00B47736"/>
    <w:rPr>
      <w:rFonts w:cs="Calibri"/>
      <w:sz w:val="22"/>
      <w:szCs w:val="22"/>
    </w:rPr>
  </w:style>
  <w:style w:type="paragraph" w:styleId="Titulek">
    <w:name w:val="caption"/>
    <w:basedOn w:val="Normln"/>
    <w:next w:val="Normln"/>
    <w:uiPriority w:val="35"/>
    <w:qFormat/>
    <w:rsid w:val="00E6026C"/>
    <w:pPr>
      <w:tabs>
        <w:tab w:val="left" w:pos="851"/>
      </w:tabs>
      <w:spacing w:after="120" w:line="240" w:lineRule="auto"/>
      <w:ind w:left="1418" w:hanging="1418"/>
      <w:jc w:val="center"/>
    </w:pPr>
    <w:rPr>
      <w:rFonts w:asciiTheme="minorHAnsi" w:hAnsiTheme="minorHAnsi" w:cs="Times New Roman"/>
      <w:bCs/>
      <w:i/>
      <w:sz w:val="20"/>
      <w:szCs w:val="20"/>
      <w:lang w:val="de-DE" w:eastAsia="de-DE"/>
    </w:rPr>
  </w:style>
  <w:style w:type="paragraph" w:styleId="Nzev">
    <w:name w:val="Title"/>
    <w:basedOn w:val="Normln"/>
    <w:link w:val="NzevChar"/>
    <w:qFormat/>
    <w:rsid w:val="003F23D6"/>
    <w:pPr>
      <w:spacing w:before="240" w:after="60" w:line="36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de-DE" w:eastAsia="de-DE"/>
    </w:rPr>
  </w:style>
  <w:style w:type="character" w:customStyle="1" w:styleId="NzevChar">
    <w:name w:val="Název Char"/>
    <w:basedOn w:val="Standardnpsmoodstavce"/>
    <w:link w:val="Nzev"/>
    <w:rsid w:val="003F23D6"/>
    <w:rPr>
      <w:rFonts w:ascii="Arial" w:hAnsi="Arial" w:cs="Arial"/>
      <w:b/>
      <w:bCs/>
      <w:kern w:val="28"/>
      <w:sz w:val="32"/>
      <w:szCs w:val="32"/>
      <w:lang w:val="de-DE" w:eastAsia="de-DE"/>
    </w:rPr>
  </w:style>
  <w:style w:type="table" w:styleId="Svtlstnovn">
    <w:name w:val="Light Shading"/>
    <w:basedOn w:val="Normlntabulka"/>
    <w:uiPriority w:val="60"/>
    <w:rsid w:val="003F23D6"/>
    <w:rPr>
      <w:rFonts w:ascii="Times New Roman" w:hAnsi="Times New Roman"/>
      <w:color w:val="000000" w:themeColor="text1" w:themeShade="BF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eapdorotaspaminjimas1">
    <w:name w:val="Neapdorotas paminėjimas1"/>
    <w:basedOn w:val="Standardnpsmoodstavce"/>
    <w:uiPriority w:val="99"/>
    <w:semiHidden/>
    <w:unhideWhenUsed/>
    <w:rsid w:val="00635E5B"/>
    <w:rPr>
      <w:color w:val="605E5C"/>
      <w:shd w:val="clear" w:color="auto" w:fill="E1DFDD"/>
    </w:rPr>
  </w:style>
  <w:style w:type="paragraph" w:styleId="Obsah3">
    <w:name w:val="toc 3"/>
    <w:basedOn w:val="Normln"/>
    <w:next w:val="Normln"/>
    <w:autoRedefine/>
    <w:uiPriority w:val="39"/>
    <w:unhideWhenUsed/>
    <w:rsid w:val="00792137"/>
    <w:pPr>
      <w:spacing w:after="100"/>
      <w:ind w:left="440"/>
    </w:pPr>
  </w:style>
  <w:style w:type="paragraph" w:styleId="Bezmezer">
    <w:name w:val="No Spacing"/>
    <w:aliases w:val="Text"/>
    <w:link w:val="BezmezerChar"/>
    <w:uiPriority w:val="1"/>
    <w:qFormat/>
    <w:rsid w:val="00D61279"/>
    <w:rPr>
      <w:rFonts w:asciiTheme="minorHAnsi" w:hAnsiTheme="minorHAnsi"/>
      <w:sz w:val="22"/>
      <w:szCs w:val="22"/>
      <w:lang w:val="en-GB" w:eastAsia="en-US"/>
    </w:rPr>
  </w:style>
  <w:style w:type="character" w:customStyle="1" w:styleId="BezmezerChar">
    <w:name w:val="Bez mezer Char"/>
    <w:aliases w:val="Text Char"/>
    <w:basedOn w:val="Standardnpsmoodstavce"/>
    <w:link w:val="Bezmezer"/>
    <w:uiPriority w:val="1"/>
    <w:rsid w:val="00D61279"/>
    <w:rPr>
      <w:rFonts w:asciiTheme="minorHAnsi" w:hAnsiTheme="minorHAnsi"/>
      <w:sz w:val="22"/>
      <w:szCs w:val="22"/>
      <w:lang w:val="en-GB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F0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mbenkova@cmi.gov.cz" TargetMode="External"/><Relationship Id="rId18" Type="http://schemas.openxmlformats.org/officeDocument/2006/relationships/image" Target="media/image9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i.org/10.1515/bmt-2022-0049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benkova@cmi.gov.cz" TargetMode="External"/><Relationship Id="rId17" Type="http://schemas.openxmlformats.org/officeDocument/2006/relationships/image" Target="media/image8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hyperlink" Target="https://doi.org/10.1016/j.flowmeasinst.2014.11.0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vin.romieu@cetiat.f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header" Target="header1.xml"/><Relationship Id="rId10" Type="http://schemas.openxmlformats.org/officeDocument/2006/relationships/hyperlink" Target="mailto:mbenkova@cmi.gov.cz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5.jpg"/><Relationship Id="rId22" Type="http://schemas.openxmlformats.org/officeDocument/2006/relationships/hyperlink" Target="https://doi.org/10.1016/j.measurement.2023.113723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93BF8-E288-4AE9-8BC9-962764DE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3823</Words>
  <Characters>22556</Characters>
  <Application>Microsoft Office Word</Application>
  <DocSecurity>0</DocSecurity>
  <Lines>187</Lines>
  <Paragraphs>52</Paragraphs>
  <ScaleCrop>false</ScaleCrop>
  <HeadingPairs>
    <vt:vector size="12" baseType="variant"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6" baseType="lpstr">
      <vt:lpstr/>
      <vt:lpstr/>
      <vt:lpstr/>
      <vt:lpstr/>
      <vt:lpstr/>
      <vt:lpstr/>
    </vt:vector>
  </TitlesOfParts>
  <Company>Microsoft</Company>
  <LinksUpToDate>false</LinksUpToDate>
  <CharactersWithSpaces>26327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Benkova</dc:creator>
  <cp:keywords/>
  <dc:description/>
  <cp:lastModifiedBy>Miroslava Benkova</cp:lastModifiedBy>
  <cp:revision>3</cp:revision>
  <cp:lastPrinted>2020-09-01T08:46:00Z</cp:lastPrinted>
  <dcterms:created xsi:type="dcterms:W3CDTF">2025-03-21T08:24:00Z</dcterms:created>
  <dcterms:modified xsi:type="dcterms:W3CDTF">2025-03-26T05:28:00Z</dcterms:modified>
</cp:coreProperties>
</file>