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83CB" w14:textId="2BDF25DA" w:rsidR="003D5185" w:rsidRPr="00D47925" w:rsidRDefault="003D5185" w:rsidP="005E0D13">
      <w:pPr>
        <w:tabs>
          <w:tab w:val="right" w:pos="9356"/>
        </w:tabs>
        <w:ind w:right="4"/>
        <w:jc w:val="left"/>
        <w:rPr>
          <w:rFonts w:ascii="Arial" w:hAnsi="Arial"/>
          <w:b/>
          <w:bCs/>
          <w:noProof/>
          <w:sz w:val="36"/>
          <w:lang w:val="en-GB" w:eastAsia="ko-KR"/>
        </w:rPr>
      </w:pPr>
    </w:p>
    <w:p w14:paraId="2ABBF24A" w14:textId="149367A4" w:rsidR="00D4024D" w:rsidRPr="00D47925" w:rsidRDefault="00D4024D" w:rsidP="005E0D13">
      <w:pPr>
        <w:tabs>
          <w:tab w:val="right" w:pos="9356"/>
        </w:tabs>
        <w:ind w:right="4"/>
        <w:jc w:val="left"/>
        <w:rPr>
          <w:rFonts w:ascii="Arial" w:hAnsi="Arial"/>
          <w:b/>
          <w:bCs/>
          <w:noProof/>
          <w:sz w:val="36"/>
          <w:lang w:val="en-GB" w:eastAsia="ko-KR"/>
        </w:rPr>
      </w:pPr>
    </w:p>
    <w:p w14:paraId="75FBBA98" w14:textId="77777777" w:rsidR="00D4024D" w:rsidRPr="00190198" w:rsidRDefault="00D4024D" w:rsidP="005E0D13">
      <w:pPr>
        <w:tabs>
          <w:tab w:val="right" w:pos="9356"/>
        </w:tabs>
        <w:ind w:right="4"/>
        <w:jc w:val="left"/>
        <w:rPr>
          <w:rFonts w:ascii="Arial" w:hAnsi="Arial"/>
          <w:b/>
          <w:bCs/>
          <w:sz w:val="36"/>
          <w:lang w:val="en-GB" w:eastAsia="ko-KR"/>
        </w:rPr>
      </w:pPr>
    </w:p>
    <w:p w14:paraId="15E61F56" w14:textId="4861B2D5" w:rsidR="003D5185" w:rsidRPr="00190198" w:rsidRDefault="003D5185" w:rsidP="003D5185">
      <w:pPr>
        <w:tabs>
          <w:tab w:val="right" w:pos="9356"/>
        </w:tabs>
        <w:ind w:right="4"/>
        <w:jc w:val="center"/>
        <w:rPr>
          <w:rFonts w:ascii="Arial" w:hAnsi="Arial"/>
          <w:b/>
          <w:bCs/>
          <w:sz w:val="36"/>
          <w:lang w:val="en-GB" w:eastAsia="ko-KR"/>
        </w:rPr>
      </w:pPr>
    </w:p>
    <w:p w14:paraId="67166926" w14:textId="61CCB37D" w:rsidR="005E0D13" w:rsidRPr="00190198" w:rsidRDefault="005E0D13" w:rsidP="003D5185">
      <w:pPr>
        <w:tabs>
          <w:tab w:val="right" w:pos="9356"/>
        </w:tabs>
        <w:ind w:right="4"/>
        <w:jc w:val="center"/>
        <w:rPr>
          <w:rFonts w:ascii="Arial" w:hAnsi="Arial"/>
          <w:b/>
          <w:bCs/>
          <w:sz w:val="36"/>
          <w:lang w:val="en-GB" w:eastAsia="ko-KR"/>
        </w:rPr>
      </w:pPr>
    </w:p>
    <w:p w14:paraId="050EB6B4" w14:textId="77777777" w:rsidR="005E0D13" w:rsidRPr="00190198" w:rsidRDefault="005E0D13" w:rsidP="003D5185">
      <w:pPr>
        <w:tabs>
          <w:tab w:val="right" w:pos="9356"/>
        </w:tabs>
        <w:ind w:right="4"/>
        <w:jc w:val="center"/>
        <w:rPr>
          <w:rFonts w:ascii="Arial" w:hAnsi="Arial"/>
          <w:b/>
          <w:bCs/>
          <w:sz w:val="36"/>
          <w:lang w:val="en-GB" w:eastAsia="ko-KR"/>
        </w:rPr>
      </w:pPr>
    </w:p>
    <w:p w14:paraId="3C17845A" w14:textId="6D3D4BBB" w:rsidR="003166A3" w:rsidRPr="00190198" w:rsidRDefault="003166A3" w:rsidP="003D5185">
      <w:pPr>
        <w:tabs>
          <w:tab w:val="right" w:pos="9356"/>
        </w:tabs>
        <w:ind w:right="4"/>
        <w:jc w:val="center"/>
        <w:rPr>
          <w:rFonts w:ascii="Arial" w:hAnsi="Arial"/>
          <w:b/>
          <w:bCs/>
          <w:sz w:val="36"/>
          <w:lang w:val="en-GB" w:eastAsia="ko-KR"/>
        </w:rPr>
      </w:pPr>
    </w:p>
    <w:p w14:paraId="638F395F" w14:textId="0898D5D8" w:rsidR="003166A3" w:rsidRPr="00190198" w:rsidRDefault="003166A3" w:rsidP="003D5185">
      <w:pPr>
        <w:tabs>
          <w:tab w:val="right" w:pos="9356"/>
        </w:tabs>
        <w:ind w:right="4"/>
        <w:jc w:val="center"/>
        <w:rPr>
          <w:rFonts w:ascii="Arial" w:hAnsi="Arial"/>
          <w:b/>
          <w:bCs/>
          <w:sz w:val="36"/>
          <w:lang w:val="en-GB" w:eastAsia="ko-KR"/>
        </w:rPr>
      </w:pPr>
    </w:p>
    <w:p w14:paraId="6A507B42" w14:textId="77777777" w:rsidR="003166A3" w:rsidRPr="00190198" w:rsidRDefault="003166A3" w:rsidP="003D5185">
      <w:pPr>
        <w:tabs>
          <w:tab w:val="right" w:pos="9356"/>
        </w:tabs>
        <w:ind w:right="4"/>
        <w:jc w:val="center"/>
        <w:rPr>
          <w:rFonts w:ascii="Arial" w:hAnsi="Arial"/>
          <w:b/>
          <w:bCs/>
          <w:sz w:val="36"/>
          <w:lang w:val="en-GB" w:eastAsia="ko-KR"/>
        </w:rPr>
      </w:pPr>
    </w:p>
    <w:p w14:paraId="2620EABA" w14:textId="194C9138" w:rsidR="003D5185" w:rsidRPr="00190198" w:rsidRDefault="003D5185" w:rsidP="003D5185">
      <w:pPr>
        <w:tabs>
          <w:tab w:val="right" w:pos="9356"/>
        </w:tabs>
        <w:ind w:right="4"/>
        <w:jc w:val="center"/>
        <w:rPr>
          <w:rFonts w:ascii="Arial" w:hAnsi="Arial"/>
          <w:b/>
          <w:bCs/>
          <w:sz w:val="36"/>
          <w:lang w:val="en-GB"/>
        </w:rPr>
      </w:pPr>
      <w:r w:rsidRPr="00190198">
        <w:rPr>
          <w:rFonts w:ascii="Arial" w:hAnsi="Arial"/>
          <w:b/>
          <w:bCs/>
          <w:sz w:val="36"/>
          <w:lang w:val="en-GB" w:eastAsia="ko-KR"/>
        </w:rPr>
        <w:t xml:space="preserve">EURAMET </w:t>
      </w:r>
      <w:r w:rsidR="00190198" w:rsidRPr="00190198">
        <w:rPr>
          <w:rFonts w:ascii="Arial" w:hAnsi="Arial"/>
          <w:b/>
          <w:bCs/>
          <w:sz w:val="36"/>
          <w:lang w:val="en-GB" w:eastAsia="ko-KR"/>
        </w:rPr>
        <w:t>Key</w:t>
      </w:r>
      <w:r w:rsidR="00190198" w:rsidRPr="00190198">
        <w:rPr>
          <w:rFonts w:ascii="Arial" w:hAnsi="Arial"/>
          <w:b/>
          <w:bCs/>
          <w:sz w:val="36"/>
          <w:lang w:val="en-GB"/>
        </w:rPr>
        <w:t xml:space="preserve"> </w:t>
      </w:r>
      <w:r w:rsidRPr="00190198">
        <w:rPr>
          <w:rFonts w:ascii="Arial" w:hAnsi="Arial"/>
          <w:b/>
          <w:bCs/>
          <w:sz w:val="36"/>
          <w:lang w:val="en-GB"/>
        </w:rPr>
        <w:t>Comparison</w:t>
      </w:r>
    </w:p>
    <w:p w14:paraId="57D9963E" w14:textId="4A489E0B" w:rsidR="003D5185" w:rsidRPr="00190198" w:rsidRDefault="003D5185" w:rsidP="001620C0">
      <w:pPr>
        <w:tabs>
          <w:tab w:val="right" w:pos="9356"/>
        </w:tabs>
        <w:ind w:right="4"/>
        <w:jc w:val="center"/>
        <w:rPr>
          <w:rFonts w:ascii="Arial" w:hAnsi="Arial"/>
          <w:b/>
          <w:bCs/>
          <w:sz w:val="36"/>
          <w:lang w:val="en-GB" w:eastAsia="ko-KR"/>
        </w:rPr>
      </w:pPr>
      <w:r w:rsidRPr="00190198">
        <w:rPr>
          <w:rFonts w:ascii="Arial" w:hAnsi="Arial"/>
          <w:b/>
          <w:bCs/>
          <w:sz w:val="36"/>
          <w:lang w:val="en-GB"/>
        </w:rPr>
        <w:br/>
      </w:r>
      <w:r w:rsidRPr="00190198">
        <w:rPr>
          <w:rFonts w:ascii="Arial" w:hAnsi="Arial"/>
          <w:b/>
          <w:bCs/>
          <w:sz w:val="36"/>
          <w:lang w:val="en-GB" w:eastAsia="ko-KR"/>
        </w:rPr>
        <w:t>EURAMET</w:t>
      </w:r>
      <w:r w:rsidR="001620C0" w:rsidRPr="00E25769">
        <w:rPr>
          <w:rFonts w:ascii="Arial" w:hAnsi="Arial"/>
          <w:b/>
          <w:bCs/>
          <w:sz w:val="36"/>
          <w:lang w:val="en-GB" w:eastAsia="ko-KR"/>
        </w:rPr>
        <w:t>.L-K4.n0</w:t>
      </w:r>
      <w:r w:rsidR="00C51041">
        <w:rPr>
          <w:rFonts w:ascii="Arial" w:hAnsi="Arial"/>
          <w:b/>
          <w:bCs/>
          <w:sz w:val="36"/>
          <w:lang w:val="en-GB" w:eastAsia="ko-KR"/>
        </w:rPr>
        <w:t>2</w:t>
      </w:r>
    </w:p>
    <w:p w14:paraId="5165BCF6" w14:textId="77777777" w:rsidR="003D5185" w:rsidRPr="00190198" w:rsidRDefault="003D5185" w:rsidP="003D5185">
      <w:pPr>
        <w:tabs>
          <w:tab w:val="right" w:pos="9356"/>
        </w:tabs>
        <w:ind w:right="4"/>
        <w:jc w:val="center"/>
        <w:rPr>
          <w:rFonts w:ascii="Arial" w:hAnsi="Arial"/>
          <w:b/>
          <w:bCs/>
          <w:sz w:val="36"/>
          <w:lang w:val="en-GB"/>
        </w:rPr>
      </w:pPr>
    </w:p>
    <w:p w14:paraId="470F0D8C" w14:textId="3EE7FAA7" w:rsidR="003D5185" w:rsidRPr="00190198" w:rsidRDefault="003D5185" w:rsidP="003D5185">
      <w:pPr>
        <w:tabs>
          <w:tab w:val="right" w:pos="9356"/>
        </w:tabs>
        <w:ind w:right="4"/>
        <w:jc w:val="center"/>
        <w:rPr>
          <w:rFonts w:ascii="Arial" w:hAnsi="Arial"/>
          <w:b/>
          <w:bCs/>
          <w:sz w:val="36"/>
          <w:lang w:val="en-GB"/>
        </w:rPr>
      </w:pPr>
      <w:bookmarkStart w:id="0" w:name="_Hlk94250735"/>
      <w:r w:rsidRPr="00190198">
        <w:rPr>
          <w:rFonts w:ascii="Arial" w:hAnsi="Arial"/>
          <w:b/>
          <w:bCs/>
          <w:sz w:val="36"/>
          <w:lang w:val="en-GB" w:eastAsia="ko-KR"/>
        </w:rPr>
        <w:t>Calibration</w:t>
      </w:r>
      <w:r w:rsidRPr="00190198">
        <w:rPr>
          <w:rFonts w:ascii="Arial" w:hAnsi="Arial"/>
          <w:b/>
          <w:bCs/>
          <w:sz w:val="36"/>
          <w:lang w:val="en-GB"/>
        </w:rPr>
        <w:t xml:space="preserve"> of </w:t>
      </w:r>
      <w:r w:rsidR="00372DC9">
        <w:rPr>
          <w:rFonts w:ascii="Arial" w:hAnsi="Arial"/>
          <w:b/>
          <w:bCs/>
          <w:sz w:val="36"/>
          <w:lang w:val="en-GB"/>
        </w:rPr>
        <w:t>Roundness standards</w:t>
      </w:r>
    </w:p>
    <w:bookmarkEnd w:id="0"/>
    <w:p w14:paraId="157C4767" w14:textId="77777777" w:rsidR="003D5185" w:rsidRPr="00190198" w:rsidRDefault="003D5185" w:rsidP="003D5185">
      <w:pPr>
        <w:tabs>
          <w:tab w:val="right" w:pos="9356"/>
        </w:tabs>
        <w:ind w:right="4"/>
        <w:jc w:val="center"/>
        <w:rPr>
          <w:rFonts w:ascii="Arial" w:hAnsi="Arial"/>
          <w:b/>
          <w:bCs/>
          <w:sz w:val="36"/>
          <w:lang w:val="en-GB"/>
        </w:rPr>
      </w:pPr>
    </w:p>
    <w:p w14:paraId="2422BB1A" w14:textId="57ECF5C1" w:rsidR="00707368" w:rsidRPr="00190198" w:rsidRDefault="003D5185" w:rsidP="003D5185">
      <w:pPr>
        <w:jc w:val="center"/>
        <w:rPr>
          <w:rFonts w:ascii="Arial" w:hAnsi="Arial"/>
          <w:b/>
          <w:bCs/>
          <w:sz w:val="36"/>
          <w:lang w:val="en-GB"/>
        </w:rPr>
      </w:pPr>
      <w:r w:rsidRPr="00190198">
        <w:rPr>
          <w:rFonts w:ascii="Arial" w:hAnsi="Arial"/>
          <w:b/>
          <w:bCs/>
          <w:sz w:val="36"/>
          <w:lang w:val="en-GB"/>
        </w:rPr>
        <w:t>Technical protocol</w:t>
      </w:r>
    </w:p>
    <w:p w14:paraId="389CCA06" w14:textId="71FF2B02" w:rsidR="003D5185" w:rsidRPr="00190198" w:rsidRDefault="003D5185" w:rsidP="003D5185">
      <w:pPr>
        <w:jc w:val="center"/>
        <w:rPr>
          <w:rFonts w:ascii="Arial" w:hAnsi="Arial"/>
          <w:b/>
          <w:bCs/>
          <w:sz w:val="36"/>
          <w:lang w:val="en-GB"/>
        </w:rPr>
      </w:pPr>
    </w:p>
    <w:p w14:paraId="6521DBF8" w14:textId="5F0096D4" w:rsidR="003D5185" w:rsidRPr="00190198" w:rsidRDefault="003D5185" w:rsidP="003D5185">
      <w:pPr>
        <w:jc w:val="center"/>
        <w:rPr>
          <w:rFonts w:ascii="Arial" w:hAnsi="Arial"/>
          <w:b/>
          <w:bCs/>
          <w:sz w:val="36"/>
          <w:lang w:val="en-GB"/>
        </w:rPr>
      </w:pPr>
    </w:p>
    <w:p w14:paraId="34A725C6" w14:textId="0B60DFD8" w:rsidR="003D5185" w:rsidRPr="00190198" w:rsidRDefault="003D5185" w:rsidP="003D5185">
      <w:pPr>
        <w:jc w:val="center"/>
        <w:rPr>
          <w:rFonts w:ascii="Arial" w:hAnsi="Arial"/>
          <w:b/>
          <w:bCs/>
          <w:sz w:val="36"/>
          <w:lang w:val="en-GB"/>
        </w:rPr>
      </w:pPr>
    </w:p>
    <w:p w14:paraId="7F031766" w14:textId="34A5999F" w:rsidR="003D5185" w:rsidRPr="00190198" w:rsidRDefault="003D5185" w:rsidP="003D5185">
      <w:pPr>
        <w:jc w:val="center"/>
        <w:rPr>
          <w:rFonts w:ascii="Arial" w:hAnsi="Arial"/>
          <w:b/>
          <w:bCs/>
          <w:sz w:val="36"/>
          <w:lang w:val="en-GB"/>
        </w:rPr>
      </w:pPr>
    </w:p>
    <w:p w14:paraId="3070A127" w14:textId="321948A3" w:rsidR="003D5185" w:rsidRPr="00190198" w:rsidRDefault="003D5185" w:rsidP="003D5185">
      <w:pPr>
        <w:jc w:val="center"/>
        <w:rPr>
          <w:rFonts w:ascii="Arial" w:hAnsi="Arial"/>
          <w:b/>
          <w:bCs/>
          <w:sz w:val="36"/>
          <w:lang w:val="en-GB"/>
        </w:rPr>
      </w:pPr>
    </w:p>
    <w:p w14:paraId="0F04702E" w14:textId="38505BD2" w:rsidR="00D318EF" w:rsidRPr="00190198" w:rsidRDefault="00D318EF" w:rsidP="003D5185">
      <w:pPr>
        <w:jc w:val="center"/>
        <w:rPr>
          <w:rFonts w:ascii="Arial" w:hAnsi="Arial"/>
          <w:b/>
          <w:bCs/>
          <w:sz w:val="36"/>
          <w:lang w:val="en-GB"/>
        </w:rPr>
      </w:pPr>
    </w:p>
    <w:p w14:paraId="3C43CCB1" w14:textId="1010777F" w:rsidR="00D318EF" w:rsidRPr="00190198" w:rsidRDefault="00D318EF" w:rsidP="00D318EF">
      <w:pPr>
        <w:pStyle w:val="Legenda"/>
        <w:rPr>
          <w:lang w:val="en-GB"/>
        </w:rPr>
      </w:pPr>
    </w:p>
    <w:sdt>
      <w:sdtPr>
        <w:rPr>
          <w:rFonts w:ascii="Calibri" w:eastAsia="Malgun Gothic" w:hAnsi="Calibri" w:cs="Arial"/>
          <w:color w:val="auto"/>
          <w:sz w:val="22"/>
          <w:szCs w:val="20"/>
          <w:lang w:val="en-GB" w:eastAsia="en-US"/>
        </w:rPr>
        <w:id w:val="-1436054386"/>
        <w:docPartObj>
          <w:docPartGallery w:val="Table of Contents"/>
          <w:docPartUnique/>
        </w:docPartObj>
      </w:sdtPr>
      <w:sdtEndPr>
        <w:rPr>
          <w:b/>
          <w:bCs/>
        </w:rPr>
      </w:sdtEndPr>
      <w:sdtContent>
        <w:p w14:paraId="362E30F4" w14:textId="6DAE284B" w:rsidR="00C8571C" w:rsidRPr="00190198" w:rsidRDefault="00190198">
          <w:pPr>
            <w:pStyle w:val="Nagwekspisutreci"/>
            <w:rPr>
              <w:lang w:val="en-GB"/>
            </w:rPr>
          </w:pPr>
          <w:r>
            <w:rPr>
              <w:lang w:val="en-GB"/>
            </w:rPr>
            <w:t>Contents</w:t>
          </w:r>
        </w:p>
        <w:p w14:paraId="47D7440F" w14:textId="7032E3DD" w:rsidR="0038270C" w:rsidRDefault="00C8571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r w:rsidRPr="00D47925">
            <w:rPr>
              <w:lang w:val="en-GB"/>
            </w:rPr>
            <w:fldChar w:fldCharType="begin"/>
          </w:r>
          <w:r w:rsidRPr="00D47925">
            <w:rPr>
              <w:lang w:val="en-GB"/>
            </w:rPr>
            <w:instrText xml:space="preserve"> TOC \o "1-3" \h \z \u </w:instrText>
          </w:r>
          <w:r w:rsidRPr="00D47925">
            <w:rPr>
              <w:lang w:val="en-GB"/>
            </w:rPr>
            <w:fldChar w:fldCharType="separate"/>
          </w:r>
          <w:hyperlink w:anchor="_Toc188960911" w:history="1">
            <w:r w:rsidR="0038270C" w:rsidRPr="003D114B">
              <w:rPr>
                <w:rStyle w:val="Hipercze"/>
                <w:noProof/>
              </w:rPr>
              <w:t>1.</w:t>
            </w:r>
            <w:r w:rsidR="0038270C">
              <w:rPr>
                <w:rFonts w:asciiTheme="minorHAnsi" w:eastAsiaTheme="minorEastAsia" w:hAnsiTheme="minorHAnsi" w:cstheme="minorBidi"/>
                <w:noProof/>
                <w:kern w:val="2"/>
                <w:sz w:val="24"/>
                <w:szCs w:val="24"/>
                <w:lang w:val="pl-PL" w:eastAsia="pl-PL"/>
                <w14:ligatures w14:val="standardContextual"/>
              </w:rPr>
              <w:tab/>
            </w:r>
            <w:r w:rsidR="0038270C" w:rsidRPr="003D114B">
              <w:rPr>
                <w:rStyle w:val="Hipercze"/>
                <w:noProof/>
              </w:rPr>
              <w:t>Document control</w:t>
            </w:r>
            <w:r w:rsidR="0038270C">
              <w:rPr>
                <w:noProof/>
                <w:webHidden/>
              </w:rPr>
              <w:tab/>
            </w:r>
            <w:r w:rsidR="0038270C">
              <w:rPr>
                <w:noProof/>
                <w:webHidden/>
              </w:rPr>
              <w:fldChar w:fldCharType="begin"/>
            </w:r>
            <w:r w:rsidR="0038270C">
              <w:rPr>
                <w:noProof/>
                <w:webHidden/>
              </w:rPr>
              <w:instrText xml:space="preserve"> PAGEREF _Toc188960911 \h </w:instrText>
            </w:r>
            <w:r w:rsidR="0038270C">
              <w:rPr>
                <w:noProof/>
                <w:webHidden/>
              </w:rPr>
            </w:r>
            <w:r w:rsidR="0038270C">
              <w:rPr>
                <w:noProof/>
                <w:webHidden/>
              </w:rPr>
              <w:fldChar w:fldCharType="separate"/>
            </w:r>
            <w:r w:rsidR="0038270C">
              <w:rPr>
                <w:noProof/>
                <w:webHidden/>
              </w:rPr>
              <w:t>3</w:t>
            </w:r>
            <w:r w:rsidR="0038270C">
              <w:rPr>
                <w:noProof/>
                <w:webHidden/>
              </w:rPr>
              <w:fldChar w:fldCharType="end"/>
            </w:r>
          </w:hyperlink>
        </w:p>
        <w:p w14:paraId="285ACEF0" w14:textId="5DD9EFC5"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2" w:history="1">
            <w:r w:rsidRPr="003D114B">
              <w:rPr>
                <w:rStyle w:val="Hipercze"/>
                <w:noProof/>
              </w:rPr>
              <w:t>2.</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Introduction</w:t>
            </w:r>
            <w:r>
              <w:rPr>
                <w:noProof/>
                <w:webHidden/>
              </w:rPr>
              <w:tab/>
            </w:r>
            <w:r>
              <w:rPr>
                <w:noProof/>
                <w:webHidden/>
              </w:rPr>
              <w:fldChar w:fldCharType="begin"/>
            </w:r>
            <w:r>
              <w:rPr>
                <w:noProof/>
                <w:webHidden/>
              </w:rPr>
              <w:instrText xml:space="preserve"> PAGEREF _Toc188960912 \h </w:instrText>
            </w:r>
            <w:r>
              <w:rPr>
                <w:noProof/>
                <w:webHidden/>
              </w:rPr>
            </w:r>
            <w:r>
              <w:rPr>
                <w:noProof/>
                <w:webHidden/>
              </w:rPr>
              <w:fldChar w:fldCharType="separate"/>
            </w:r>
            <w:r>
              <w:rPr>
                <w:noProof/>
                <w:webHidden/>
              </w:rPr>
              <w:t>3</w:t>
            </w:r>
            <w:r>
              <w:rPr>
                <w:noProof/>
                <w:webHidden/>
              </w:rPr>
              <w:fldChar w:fldCharType="end"/>
            </w:r>
          </w:hyperlink>
        </w:p>
        <w:p w14:paraId="3EC19EB6" w14:textId="7D085963"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3" w:history="1">
            <w:r w:rsidRPr="003D114B">
              <w:rPr>
                <w:rStyle w:val="Hipercze"/>
                <w:noProof/>
              </w:rPr>
              <w:t>3.</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Organization</w:t>
            </w:r>
            <w:r>
              <w:rPr>
                <w:noProof/>
                <w:webHidden/>
              </w:rPr>
              <w:tab/>
            </w:r>
            <w:r>
              <w:rPr>
                <w:noProof/>
                <w:webHidden/>
              </w:rPr>
              <w:fldChar w:fldCharType="begin"/>
            </w:r>
            <w:r>
              <w:rPr>
                <w:noProof/>
                <w:webHidden/>
              </w:rPr>
              <w:instrText xml:space="preserve"> PAGEREF _Toc188960913 \h </w:instrText>
            </w:r>
            <w:r>
              <w:rPr>
                <w:noProof/>
                <w:webHidden/>
              </w:rPr>
            </w:r>
            <w:r>
              <w:rPr>
                <w:noProof/>
                <w:webHidden/>
              </w:rPr>
              <w:fldChar w:fldCharType="separate"/>
            </w:r>
            <w:r>
              <w:rPr>
                <w:noProof/>
                <w:webHidden/>
              </w:rPr>
              <w:t>3</w:t>
            </w:r>
            <w:r>
              <w:rPr>
                <w:noProof/>
                <w:webHidden/>
              </w:rPr>
              <w:fldChar w:fldCharType="end"/>
            </w:r>
          </w:hyperlink>
        </w:p>
        <w:p w14:paraId="24F27792" w14:textId="149827C3"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4" w:history="1">
            <w:r w:rsidRPr="003D114B">
              <w:rPr>
                <w:rStyle w:val="Hipercze"/>
                <w:noProof/>
              </w:rPr>
              <w:t>3.1.</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Participants</w:t>
            </w:r>
            <w:r>
              <w:rPr>
                <w:noProof/>
                <w:webHidden/>
              </w:rPr>
              <w:tab/>
            </w:r>
            <w:r>
              <w:rPr>
                <w:noProof/>
                <w:webHidden/>
              </w:rPr>
              <w:fldChar w:fldCharType="begin"/>
            </w:r>
            <w:r>
              <w:rPr>
                <w:noProof/>
                <w:webHidden/>
              </w:rPr>
              <w:instrText xml:space="preserve"> PAGEREF _Toc188960914 \h </w:instrText>
            </w:r>
            <w:r>
              <w:rPr>
                <w:noProof/>
                <w:webHidden/>
              </w:rPr>
            </w:r>
            <w:r>
              <w:rPr>
                <w:noProof/>
                <w:webHidden/>
              </w:rPr>
              <w:fldChar w:fldCharType="separate"/>
            </w:r>
            <w:r>
              <w:rPr>
                <w:noProof/>
                <w:webHidden/>
              </w:rPr>
              <w:t>3</w:t>
            </w:r>
            <w:r>
              <w:rPr>
                <w:noProof/>
                <w:webHidden/>
              </w:rPr>
              <w:fldChar w:fldCharType="end"/>
            </w:r>
          </w:hyperlink>
        </w:p>
        <w:p w14:paraId="04E1F283" w14:textId="45593FB3"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5" w:history="1">
            <w:r w:rsidRPr="003D114B">
              <w:rPr>
                <w:rStyle w:val="Hipercze"/>
                <w:noProof/>
              </w:rPr>
              <w:t>3.2.</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Schedule</w:t>
            </w:r>
            <w:r>
              <w:rPr>
                <w:noProof/>
                <w:webHidden/>
              </w:rPr>
              <w:tab/>
            </w:r>
            <w:r>
              <w:rPr>
                <w:noProof/>
                <w:webHidden/>
              </w:rPr>
              <w:fldChar w:fldCharType="begin"/>
            </w:r>
            <w:r>
              <w:rPr>
                <w:noProof/>
                <w:webHidden/>
              </w:rPr>
              <w:instrText xml:space="preserve"> PAGEREF _Toc188960915 \h </w:instrText>
            </w:r>
            <w:r>
              <w:rPr>
                <w:noProof/>
                <w:webHidden/>
              </w:rPr>
            </w:r>
            <w:r>
              <w:rPr>
                <w:noProof/>
                <w:webHidden/>
              </w:rPr>
              <w:fldChar w:fldCharType="separate"/>
            </w:r>
            <w:r>
              <w:rPr>
                <w:noProof/>
                <w:webHidden/>
              </w:rPr>
              <w:t>4</w:t>
            </w:r>
            <w:r>
              <w:rPr>
                <w:noProof/>
                <w:webHidden/>
              </w:rPr>
              <w:fldChar w:fldCharType="end"/>
            </w:r>
          </w:hyperlink>
        </w:p>
        <w:p w14:paraId="6B21303A" w14:textId="1E36AF38"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6" w:history="1">
            <w:r w:rsidRPr="003D114B">
              <w:rPr>
                <w:rStyle w:val="Hipercze"/>
                <w:noProof/>
              </w:rPr>
              <w:t>3.3.</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Reception, transportation, insurance, costs</w:t>
            </w:r>
            <w:r>
              <w:rPr>
                <w:noProof/>
                <w:webHidden/>
              </w:rPr>
              <w:tab/>
            </w:r>
            <w:r>
              <w:rPr>
                <w:noProof/>
                <w:webHidden/>
              </w:rPr>
              <w:fldChar w:fldCharType="begin"/>
            </w:r>
            <w:r>
              <w:rPr>
                <w:noProof/>
                <w:webHidden/>
              </w:rPr>
              <w:instrText xml:space="preserve"> PAGEREF _Toc188960916 \h </w:instrText>
            </w:r>
            <w:r>
              <w:rPr>
                <w:noProof/>
                <w:webHidden/>
              </w:rPr>
            </w:r>
            <w:r>
              <w:rPr>
                <w:noProof/>
                <w:webHidden/>
              </w:rPr>
              <w:fldChar w:fldCharType="separate"/>
            </w:r>
            <w:r>
              <w:rPr>
                <w:noProof/>
                <w:webHidden/>
              </w:rPr>
              <w:t>4</w:t>
            </w:r>
            <w:r>
              <w:rPr>
                <w:noProof/>
                <w:webHidden/>
              </w:rPr>
              <w:fldChar w:fldCharType="end"/>
            </w:r>
          </w:hyperlink>
        </w:p>
        <w:p w14:paraId="73441A74" w14:textId="415B53F4"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7" w:history="1">
            <w:r w:rsidRPr="003D114B">
              <w:rPr>
                <w:rStyle w:val="Hipercze"/>
                <w:noProof/>
              </w:rPr>
              <w:t>4.</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Artefacts</w:t>
            </w:r>
            <w:r>
              <w:rPr>
                <w:noProof/>
                <w:webHidden/>
              </w:rPr>
              <w:tab/>
            </w:r>
            <w:r>
              <w:rPr>
                <w:noProof/>
                <w:webHidden/>
              </w:rPr>
              <w:fldChar w:fldCharType="begin"/>
            </w:r>
            <w:r>
              <w:rPr>
                <w:noProof/>
                <w:webHidden/>
              </w:rPr>
              <w:instrText xml:space="preserve"> PAGEREF _Toc188960917 \h </w:instrText>
            </w:r>
            <w:r>
              <w:rPr>
                <w:noProof/>
                <w:webHidden/>
              </w:rPr>
            </w:r>
            <w:r>
              <w:rPr>
                <w:noProof/>
                <w:webHidden/>
              </w:rPr>
              <w:fldChar w:fldCharType="separate"/>
            </w:r>
            <w:r>
              <w:rPr>
                <w:noProof/>
                <w:webHidden/>
              </w:rPr>
              <w:t>5</w:t>
            </w:r>
            <w:r>
              <w:rPr>
                <w:noProof/>
                <w:webHidden/>
              </w:rPr>
              <w:fldChar w:fldCharType="end"/>
            </w:r>
          </w:hyperlink>
        </w:p>
        <w:p w14:paraId="16B7B7DF" w14:textId="7AE9FF56"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18" w:history="1">
            <w:r w:rsidRPr="003D114B">
              <w:rPr>
                <w:rStyle w:val="Hipercze"/>
                <w:noProof/>
              </w:rPr>
              <w:t>4.1.</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Description of artefact</w:t>
            </w:r>
            <w:r>
              <w:rPr>
                <w:noProof/>
                <w:webHidden/>
              </w:rPr>
              <w:tab/>
            </w:r>
            <w:r>
              <w:rPr>
                <w:noProof/>
                <w:webHidden/>
              </w:rPr>
              <w:fldChar w:fldCharType="begin"/>
            </w:r>
            <w:r>
              <w:rPr>
                <w:noProof/>
                <w:webHidden/>
              </w:rPr>
              <w:instrText xml:space="preserve"> PAGEREF _Toc188960918 \h </w:instrText>
            </w:r>
            <w:r>
              <w:rPr>
                <w:noProof/>
                <w:webHidden/>
              </w:rPr>
            </w:r>
            <w:r>
              <w:rPr>
                <w:noProof/>
                <w:webHidden/>
              </w:rPr>
              <w:fldChar w:fldCharType="separate"/>
            </w:r>
            <w:r>
              <w:rPr>
                <w:noProof/>
                <w:webHidden/>
              </w:rPr>
              <w:t>5</w:t>
            </w:r>
            <w:r>
              <w:rPr>
                <w:noProof/>
                <w:webHidden/>
              </w:rPr>
              <w:fldChar w:fldCharType="end"/>
            </w:r>
          </w:hyperlink>
        </w:p>
        <w:p w14:paraId="5914EF63" w14:textId="4AAF9DF6"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0" w:history="1">
            <w:r w:rsidRPr="003D114B">
              <w:rPr>
                <w:rStyle w:val="Hipercze"/>
                <w:noProof/>
              </w:rPr>
              <w:t>5.</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Measuring instructions</w:t>
            </w:r>
            <w:r>
              <w:rPr>
                <w:noProof/>
                <w:webHidden/>
              </w:rPr>
              <w:tab/>
            </w:r>
            <w:r>
              <w:rPr>
                <w:noProof/>
                <w:webHidden/>
              </w:rPr>
              <w:fldChar w:fldCharType="begin"/>
            </w:r>
            <w:r>
              <w:rPr>
                <w:noProof/>
                <w:webHidden/>
              </w:rPr>
              <w:instrText xml:space="preserve"> PAGEREF _Toc188960920 \h </w:instrText>
            </w:r>
            <w:r>
              <w:rPr>
                <w:noProof/>
                <w:webHidden/>
              </w:rPr>
            </w:r>
            <w:r>
              <w:rPr>
                <w:noProof/>
                <w:webHidden/>
              </w:rPr>
              <w:fldChar w:fldCharType="separate"/>
            </w:r>
            <w:r>
              <w:rPr>
                <w:noProof/>
                <w:webHidden/>
              </w:rPr>
              <w:t>7</w:t>
            </w:r>
            <w:r>
              <w:rPr>
                <w:noProof/>
                <w:webHidden/>
              </w:rPr>
              <w:fldChar w:fldCharType="end"/>
            </w:r>
          </w:hyperlink>
        </w:p>
        <w:p w14:paraId="13307E29" w14:textId="0AF6151F"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1" w:history="1">
            <w:r w:rsidRPr="003D114B">
              <w:rPr>
                <w:rStyle w:val="Hipercze"/>
                <w:noProof/>
              </w:rPr>
              <w:t>5.1.</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Handling the artefact</w:t>
            </w:r>
            <w:r>
              <w:rPr>
                <w:noProof/>
                <w:webHidden/>
              </w:rPr>
              <w:tab/>
            </w:r>
            <w:r>
              <w:rPr>
                <w:noProof/>
                <w:webHidden/>
              </w:rPr>
              <w:fldChar w:fldCharType="begin"/>
            </w:r>
            <w:r>
              <w:rPr>
                <w:noProof/>
                <w:webHidden/>
              </w:rPr>
              <w:instrText xml:space="preserve"> PAGEREF _Toc188960921 \h </w:instrText>
            </w:r>
            <w:r>
              <w:rPr>
                <w:noProof/>
                <w:webHidden/>
              </w:rPr>
            </w:r>
            <w:r>
              <w:rPr>
                <w:noProof/>
                <w:webHidden/>
              </w:rPr>
              <w:fldChar w:fldCharType="separate"/>
            </w:r>
            <w:r>
              <w:rPr>
                <w:noProof/>
                <w:webHidden/>
              </w:rPr>
              <w:t>7</w:t>
            </w:r>
            <w:r>
              <w:rPr>
                <w:noProof/>
                <w:webHidden/>
              </w:rPr>
              <w:fldChar w:fldCharType="end"/>
            </w:r>
          </w:hyperlink>
        </w:p>
        <w:p w14:paraId="4664B287" w14:textId="16C5BA5B"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2" w:history="1">
            <w:r w:rsidRPr="003D114B">
              <w:rPr>
                <w:rStyle w:val="Hipercze"/>
                <w:noProof/>
              </w:rPr>
              <w:t>5.2.</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Traceability</w:t>
            </w:r>
            <w:r>
              <w:rPr>
                <w:noProof/>
                <w:webHidden/>
              </w:rPr>
              <w:tab/>
            </w:r>
            <w:r>
              <w:rPr>
                <w:noProof/>
                <w:webHidden/>
              </w:rPr>
              <w:fldChar w:fldCharType="begin"/>
            </w:r>
            <w:r>
              <w:rPr>
                <w:noProof/>
                <w:webHidden/>
              </w:rPr>
              <w:instrText xml:space="preserve"> PAGEREF _Toc188960922 \h </w:instrText>
            </w:r>
            <w:r>
              <w:rPr>
                <w:noProof/>
                <w:webHidden/>
              </w:rPr>
            </w:r>
            <w:r>
              <w:rPr>
                <w:noProof/>
                <w:webHidden/>
              </w:rPr>
              <w:fldChar w:fldCharType="separate"/>
            </w:r>
            <w:r>
              <w:rPr>
                <w:noProof/>
                <w:webHidden/>
              </w:rPr>
              <w:t>7</w:t>
            </w:r>
            <w:r>
              <w:rPr>
                <w:noProof/>
                <w:webHidden/>
              </w:rPr>
              <w:fldChar w:fldCharType="end"/>
            </w:r>
          </w:hyperlink>
        </w:p>
        <w:p w14:paraId="2021B166" w14:textId="2CCBFF93"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3" w:history="1">
            <w:r w:rsidRPr="003D114B">
              <w:rPr>
                <w:rStyle w:val="Hipercze"/>
                <w:noProof/>
              </w:rPr>
              <w:t>5.3.</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Measurands</w:t>
            </w:r>
            <w:r>
              <w:rPr>
                <w:noProof/>
                <w:webHidden/>
              </w:rPr>
              <w:tab/>
            </w:r>
            <w:r>
              <w:rPr>
                <w:noProof/>
                <w:webHidden/>
              </w:rPr>
              <w:fldChar w:fldCharType="begin"/>
            </w:r>
            <w:r>
              <w:rPr>
                <w:noProof/>
                <w:webHidden/>
              </w:rPr>
              <w:instrText xml:space="preserve"> PAGEREF _Toc188960923 \h </w:instrText>
            </w:r>
            <w:r>
              <w:rPr>
                <w:noProof/>
                <w:webHidden/>
              </w:rPr>
            </w:r>
            <w:r>
              <w:rPr>
                <w:noProof/>
                <w:webHidden/>
              </w:rPr>
              <w:fldChar w:fldCharType="separate"/>
            </w:r>
            <w:r>
              <w:rPr>
                <w:noProof/>
                <w:webHidden/>
              </w:rPr>
              <w:t>7</w:t>
            </w:r>
            <w:r>
              <w:rPr>
                <w:noProof/>
                <w:webHidden/>
              </w:rPr>
              <w:fldChar w:fldCharType="end"/>
            </w:r>
          </w:hyperlink>
        </w:p>
        <w:p w14:paraId="479F4D0D" w14:textId="7AE4044A"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4" w:history="1">
            <w:r w:rsidRPr="003D114B">
              <w:rPr>
                <w:rStyle w:val="Hipercze"/>
                <w:noProof/>
              </w:rPr>
              <w:t>5.4.</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Measurement uncertainty</w:t>
            </w:r>
            <w:r>
              <w:rPr>
                <w:noProof/>
                <w:webHidden/>
              </w:rPr>
              <w:tab/>
            </w:r>
            <w:r>
              <w:rPr>
                <w:noProof/>
                <w:webHidden/>
              </w:rPr>
              <w:fldChar w:fldCharType="begin"/>
            </w:r>
            <w:r>
              <w:rPr>
                <w:noProof/>
                <w:webHidden/>
              </w:rPr>
              <w:instrText xml:space="preserve"> PAGEREF _Toc188960924 \h </w:instrText>
            </w:r>
            <w:r>
              <w:rPr>
                <w:noProof/>
                <w:webHidden/>
              </w:rPr>
            </w:r>
            <w:r>
              <w:rPr>
                <w:noProof/>
                <w:webHidden/>
              </w:rPr>
              <w:fldChar w:fldCharType="separate"/>
            </w:r>
            <w:r>
              <w:rPr>
                <w:noProof/>
                <w:webHidden/>
              </w:rPr>
              <w:t>7</w:t>
            </w:r>
            <w:r>
              <w:rPr>
                <w:noProof/>
                <w:webHidden/>
              </w:rPr>
              <w:fldChar w:fldCharType="end"/>
            </w:r>
          </w:hyperlink>
        </w:p>
        <w:p w14:paraId="455BD200" w14:textId="637388DE"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5" w:history="1">
            <w:r w:rsidRPr="003D114B">
              <w:rPr>
                <w:rStyle w:val="Hipercze"/>
                <w:noProof/>
              </w:rPr>
              <w:t>5.5.</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Reference conditions</w:t>
            </w:r>
            <w:r>
              <w:rPr>
                <w:noProof/>
                <w:webHidden/>
              </w:rPr>
              <w:tab/>
            </w:r>
            <w:r>
              <w:rPr>
                <w:noProof/>
                <w:webHidden/>
              </w:rPr>
              <w:fldChar w:fldCharType="begin"/>
            </w:r>
            <w:r>
              <w:rPr>
                <w:noProof/>
                <w:webHidden/>
              </w:rPr>
              <w:instrText xml:space="preserve"> PAGEREF _Toc188960925 \h </w:instrText>
            </w:r>
            <w:r>
              <w:rPr>
                <w:noProof/>
                <w:webHidden/>
              </w:rPr>
            </w:r>
            <w:r>
              <w:rPr>
                <w:noProof/>
                <w:webHidden/>
              </w:rPr>
              <w:fldChar w:fldCharType="separate"/>
            </w:r>
            <w:r>
              <w:rPr>
                <w:noProof/>
                <w:webHidden/>
              </w:rPr>
              <w:t>8</w:t>
            </w:r>
            <w:r>
              <w:rPr>
                <w:noProof/>
                <w:webHidden/>
              </w:rPr>
              <w:fldChar w:fldCharType="end"/>
            </w:r>
          </w:hyperlink>
        </w:p>
        <w:p w14:paraId="6E942184" w14:textId="3B061A36"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6" w:history="1">
            <w:r w:rsidRPr="003D114B">
              <w:rPr>
                <w:rStyle w:val="Hipercze"/>
                <w:noProof/>
              </w:rPr>
              <w:t>6.</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Reporting of results</w:t>
            </w:r>
            <w:r>
              <w:rPr>
                <w:noProof/>
                <w:webHidden/>
              </w:rPr>
              <w:tab/>
            </w:r>
            <w:r>
              <w:rPr>
                <w:noProof/>
                <w:webHidden/>
              </w:rPr>
              <w:fldChar w:fldCharType="begin"/>
            </w:r>
            <w:r>
              <w:rPr>
                <w:noProof/>
                <w:webHidden/>
              </w:rPr>
              <w:instrText xml:space="preserve"> PAGEREF _Toc188960926 \h </w:instrText>
            </w:r>
            <w:r>
              <w:rPr>
                <w:noProof/>
                <w:webHidden/>
              </w:rPr>
            </w:r>
            <w:r>
              <w:rPr>
                <w:noProof/>
                <w:webHidden/>
              </w:rPr>
              <w:fldChar w:fldCharType="separate"/>
            </w:r>
            <w:r>
              <w:rPr>
                <w:noProof/>
                <w:webHidden/>
              </w:rPr>
              <w:t>8</w:t>
            </w:r>
            <w:r>
              <w:rPr>
                <w:noProof/>
                <w:webHidden/>
              </w:rPr>
              <w:fldChar w:fldCharType="end"/>
            </w:r>
          </w:hyperlink>
        </w:p>
        <w:p w14:paraId="43D6A4C9" w14:textId="23547CB3"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7" w:history="1">
            <w:r w:rsidRPr="003D114B">
              <w:rPr>
                <w:rStyle w:val="Hipercze"/>
                <w:noProof/>
              </w:rPr>
              <w:t>6.1.</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Results and uncertainties</w:t>
            </w:r>
            <w:r>
              <w:rPr>
                <w:noProof/>
                <w:webHidden/>
              </w:rPr>
              <w:tab/>
            </w:r>
            <w:r>
              <w:rPr>
                <w:noProof/>
                <w:webHidden/>
              </w:rPr>
              <w:fldChar w:fldCharType="begin"/>
            </w:r>
            <w:r>
              <w:rPr>
                <w:noProof/>
                <w:webHidden/>
              </w:rPr>
              <w:instrText xml:space="preserve"> PAGEREF _Toc188960927 \h </w:instrText>
            </w:r>
            <w:r>
              <w:rPr>
                <w:noProof/>
                <w:webHidden/>
              </w:rPr>
            </w:r>
            <w:r>
              <w:rPr>
                <w:noProof/>
                <w:webHidden/>
              </w:rPr>
              <w:fldChar w:fldCharType="separate"/>
            </w:r>
            <w:r>
              <w:rPr>
                <w:noProof/>
                <w:webHidden/>
              </w:rPr>
              <w:t>8</w:t>
            </w:r>
            <w:r>
              <w:rPr>
                <w:noProof/>
                <w:webHidden/>
              </w:rPr>
              <w:fldChar w:fldCharType="end"/>
            </w:r>
          </w:hyperlink>
        </w:p>
        <w:p w14:paraId="1C7C9926" w14:textId="76E1137A"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8" w:history="1">
            <w:r w:rsidRPr="003D114B">
              <w:rPr>
                <w:rStyle w:val="Hipercze"/>
                <w:noProof/>
              </w:rPr>
              <w:t>7.</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Analysis of results</w:t>
            </w:r>
            <w:r>
              <w:rPr>
                <w:noProof/>
                <w:webHidden/>
              </w:rPr>
              <w:tab/>
            </w:r>
            <w:r>
              <w:rPr>
                <w:noProof/>
                <w:webHidden/>
              </w:rPr>
              <w:fldChar w:fldCharType="begin"/>
            </w:r>
            <w:r>
              <w:rPr>
                <w:noProof/>
                <w:webHidden/>
              </w:rPr>
              <w:instrText xml:space="preserve"> PAGEREF _Toc188960928 \h </w:instrText>
            </w:r>
            <w:r>
              <w:rPr>
                <w:noProof/>
                <w:webHidden/>
              </w:rPr>
            </w:r>
            <w:r>
              <w:rPr>
                <w:noProof/>
                <w:webHidden/>
              </w:rPr>
              <w:fldChar w:fldCharType="separate"/>
            </w:r>
            <w:r>
              <w:rPr>
                <w:noProof/>
                <w:webHidden/>
              </w:rPr>
              <w:t>9</w:t>
            </w:r>
            <w:r>
              <w:rPr>
                <w:noProof/>
                <w:webHidden/>
              </w:rPr>
              <w:fldChar w:fldCharType="end"/>
            </w:r>
          </w:hyperlink>
        </w:p>
        <w:p w14:paraId="730C1062" w14:textId="249D62CD"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29" w:history="1">
            <w:r w:rsidRPr="003D114B">
              <w:rPr>
                <w:rStyle w:val="Hipercze"/>
                <w:noProof/>
              </w:rPr>
              <w:t>7.1.</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Calculation of the reference value</w:t>
            </w:r>
            <w:r>
              <w:rPr>
                <w:noProof/>
                <w:webHidden/>
              </w:rPr>
              <w:tab/>
            </w:r>
            <w:r>
              <w:rPr>
                <w:noProof/>
                <w:webHidden/>
              </w:rPr>
              <w:fldChar w:fldCharType="begin"/>
            </w:r>
            <w:r>
              <w:rPr>
                <w:noProof/>
                <w:webHidden/>
              </w:rPr>
              <w:instrText xml:space="preserve"> PAGEREF _Toc188960929 \h </w:instrText>
            </w:r>
            <w:r>
              <w:rPr>
                <w:noProof/>
                <w:webHidden/>
              </w:rPr>
            </w:r>
            <w:r>
              <w:rPr>
                <w:noProof/>
                <w:webHidden/>
              </w:rPr>
              <w:fldChar w:fldCharType="separate"/>
            </w:r>
            <w:r>
              <w:rPr>
                <w:noProof/>
                <w:webHidden/>
              </w:rPr>
              <w:t>9</w:t>
            </w:r>
            <w:r>
              <w:rPr>
                <w:noProof/>
                <w:webHidden/>
              </w:rPr>
              <w:fldChar w:fldCharType="end"/>
            </w:r>
          </w:hyperlink>
        </w:p>
        <w:p w14:paraId="30DD67AE" w14:textId="63E221DF"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0" w:history="1">
            <w:r w:rsidRPr="003D114B">
              <w:rPr>
                <w:rStyle w:val="Hipercze"/>
                <w:noProof/>
              </w:rPr>
              <w:t>7.2.</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Artefact instability</w:t>
            </w:r>
            <w:r>
              <w:rPr>
                <w:noProof/>
                <w:webHidden/>
              </w:rPr>
              <w:tab/>
            </w:r>
            <w:r>
              <w:rPr>
                <w:noProof/>
                <w:webHidden/>
              </w:rPr>
              <w:fldChar w:fldCharType="begin"/>
            </w:r>
            <w:r>
              <w:rPr>
                <w:noProof/>
                <w:webHidden/>
              </w:rPr>
              <w:instrText xml:space="preserve"> PAGEREF _Toc188960930 \h </w:instrText>
            </w:r>
            <w:r>
              <w:rPr>
                <w:noProof/>
                <w:webHidden/>
              </w:rPr>
            </w:r>
            <w:r>
              <w:rPr>
                <w:noProof/>
                <w:webHidden/>
              </w:rPr>
              <w:fldChar w:fldCharType="separate"/>
            </w:r>
            <w:r>
              <w:rPr>
                <w:noProof/>
                <w:webHidden/>
              </w:rPr>
              <w:t>9</w:t>
            </w:r>
            <w:r>
              <w:rPr>
                <w:noProof/>
                <w:webHidden/>
              </w:rPr>
              <w:fldChar w:fldCharType="end"/>
            </w:r>
          </w:hyperlink>
        </w:p>
        <w:p w14:paraId="38DF3D3A" w14:textId="7DAE682E"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1" w:history="1">
            <w:r w:rsidRPr="003D114B">
              <w:rPr>
                <w:rStyle w:val="Hipercze"/>
                <w:noProof/>
              </w:rPr>
              <w:t>7.3.</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Correlation between laboratories</w:t>
            </w:r>
            <w:r>
              <w:rPr>
                <w:noProof/>
                <w:webHidden/>
              </w:rPr>
              <w:tab/>
            </w:r>
            <w:r>
              <w:rPr>
                <w:noProof/>
                <w:webHidden/>
              </w:rPr>
              <w:fldChar w:fldCharType="begin"/>
            </w:r>
            <w:r>
              <w:rPr>
                <w:noProof/>
                <w:webHidden/>
              </w:rPr>
              <w:instrText xml:space="preserve"> PAGEREF _Toc188960931 \h </w:instrText>
            </w:r>
            <w:r>
              <w:rPr>
                <w:noProof/>
                <w:webHidden/>
              </w:rPr>
            </w:r>
            <w:r>
              <w:rPr>
                <w:noProof/>
                <w:webHidden/>
              </w:rPr>
              <w:fldChar w:fldCharType="separate"/>
            </w:r>
            <w:r>
              <w:rPr>
                <w:noProof/>
                <w:webHidden/>
              </w:rPr>
              <w:t>9</w:t>
            </w:r>
            <w:r>
              <w:rPr>
                <w:noProof/>
                <w:webHidden/>
              </w:rPr>
              <w:fldChar w:fldCharType="end"/>
            </w:r>
          </w:hyperlink>
        </w:p>
        <w:p w14:paraId="673CAAB1" w14:textId="736FC592" w:rsidR="0038270C" w:rsidRDefault="0038270C">
          <w:pPr>
            <w:pStyle w:val="Spistreci1"/>
            <w:tabs>
              <w:tab w:val="left" w:pos="72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2" w:history="1">
            <w:r w:rsidRPr="003D114B">
              <w:rPr>
                <w:rStyle w:val="Hipercze"/>
                <w:noProof/>
              </w:rPr>
              <w:t>7.4.</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Linking to other comparisons</w:t>
            </w:r>
            <w:r>
              <w:rPr>
                <w:noProof/>
                <w:webHidden/>
              </w:rPr>
              <w:tab/>
            </w:r>
            <w:r>
              <w:rPr>
                <w:noProof/>
                <w:webHidden/>
              </w:rPr>
              <w:fldChar w:fldCharType="begin"/>
            </w:r>
            <w:r>
              <w:rPr>
                <w:noProof/>
                <w:webHidden/>
              </w:rPr>
              <w:instrText xml:space="preserve"> PAGEREF _Toc188960932 \h </w:instrText>
            </w:r>
            <w:r>
              <w:rPr>
                <w:noProof/>
                <w:webHidden/>
              </w:rPr>
            </w:r>
            <w:r>
              <w:rPr>
                <w:noProof/>
                <w:webHidden/>
              </w:rPr>
              <w:fldChar w:fldCharType="separate"/>
            </w:r>
            <w:r>
              <w:rPr>
                <w:noProof/>
                <w:webHidden/>
              </w:rPr>
              <w:t>9</w:t>
            </w:r>
            <w:r>
              <w:rPr>
                <w:noProof/>
                <w:webHidden/>
              </w:rPr>
              <w:fldChar w:fldCharType="end"/>
            </w:r>
          </w:hyperlink>
        </w:p>
        <w:p w14:paraId="1D6D333A" w14:textId="3FF2A459" w:rsidR="0038270C" w:rsidRDefault="0038270C">
          <w:pPr>
            <w:pStyle w:val="Spistreci1"/>
            <w:tabs>
              <w:tab w:val="left" w:pos="440"/>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3" w:history="1">
            <w:r w:rsidRPr="003D114B">
              <w:rPr>
                <w:rStyle w:val="Hipercze"/>
                <w:noProof/>
              </w:rPr>
              <w:t>8.</w:t>
            </w:r>
            <w:r>
              <w:rPr>
                <w:rFonts w:asciiTheme="minorHAnsi" w:eastAsiaTheme="minorEastAsia" w:hAnsiTheme="minorHAnsi" w:cstheme="minorBidi"/>
                <w:noProof/>
                <w:kern w:val="2"/>
                <w:sz w:val="24"/>
                <w:szCs w:val="24"/>
                <w:lang w:val="pl-PL" w:eastAsia="pl-PL"/>
                <w14:ligatures w14:val="standardContextual"/>
              </w:rPr>
              <w:tab/>
            </w:r>
            <w:r w:rsidRPr="003D114B">
              <w:rPr>
                <w:rStyle w:val="Hipercze"/>
                <w:noProof/>
              </w:rPr>
              <w:t>References</w:t>
            </w:r>
            <w:r>
              <w:rPr>
                <w:noProof/>
                <w:webHidden/>
              </w:rPr>
              <w:tab/>
            </w:r>
            <w:r>
              <w:rPr>
                <w:noProof/>
                <w:webHidden/>
              </w:rPr>
              <w:fldChar w:fldCharType="begin"/>
            </w:r>
            <w:r>
              <w:rPr>
                <w:noProof/>
                <w:webHidden/>
              </w:rPr>
              <w:instrText xml:space="preserve"> PAGEREF _Toc188960933 \h </w:instrText>
            </w:r>
            <w:r>
              <w:rPr>
                <w:noProof/>
                <w:webHidden/>
              </w:rPr>
            </w:r>
            <w:r>
              <w:rPr>
                <w:noProof/>
                <w:webHidden/>
              </w:rPr>
              <w:fldChar w:fldCharType="separate"/>
            </w:r>
            <w:r>
              <w:rPr>
                <w:noProof/>
                <w:webHidden/>
              </w:rPr>
              <w:t>10</w:t>
            </w:r>
            <w:r>
              <w:rPr>
                <w:noProof/>
                <w:webHidden/>
              </w:rPr>
              <w:fldChar w:fldCharType="end"/>
            </w:r>
          </w:hyperlink>
        </w:p>
        <w:p w14:paraId="0152F345" w14:textId="379A0D14" w:rsidR="0038270C" w:rsidRDefault="0038270C">
          <w:pPr>
            <w:pStyle w:val="Spistreci1"/>
            <w:tabs>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4" w:history="1">
            <w:r w:rsidRPr="003D114B">
              <w:rPr>
                <w:rStyle w:val="Hipercze"/>
                <w:noProof/>
              </w:rPr>
              <w:t>Appendix A – Reception of Standards</w:t>
            </w:r>
            <w:r>
              <w:rPr>
                <w:noProof/>
                <w:webHidden/>
              </w:rPr>
              <w:tab/>
            </w:r>
            <w:r>
              <w:rPr>
                <w:noProof/>
                <w:webHidden/>
              </w:rPr>
              <w:fldChar w:fldCharType="begin"/>
            </w:r>
            <w:r>
              <w:rPr>
                <w:noProof/>
                <w:webHidden/>
              </w:rPr>
              <w:instrText xml:space="preserve"> PAGEREF _Toc188960934 \h </w:instrText>
            </w:r>
            <w:r>
              <w:rPr>
                <w:noProof/>
                <w:webHidden/>
              </w:rPr>
            </w:r>
            <w:r>
              <w:rPr>
                <w:noProof/>
                <w:webHidden/>
              </w:rPr>
              <w:fldChar w:fldCharType="separate"/>
            </w:r>
            <w:r>
              <w:rPr>
                <w:noProof/>
                <w:webHidden/>
              </w:rPr>
              <w:t>10</w:t>
            </w:r>
            <w:r>
              <w:rPr>
                <w:noProof/>
                <w:webHidden/>
              </w:rPr>
              <w:fldChar w:fldCharType="end"/>
            </w:r>
          </w:hyperlink>
        </w:p>
        <w:p w14:paraId="664B3E35" w14:textId="5E38C8A4" w:rsidR="0038270C" w:rsidRDefault="0038270C">
          <w:pPr>
            <w:pStyle w:val="Spistreci1"/>
            <w:tabs>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5" w:history="1">
            <w:r w:rsidRPr="003D114B">
              <w:rPr>
                <w:rStyle w:val="Hipercze"/>
                <w:noProof/>
              </w:rPr>
              <w:t xml:space="preserve">Appendix </w:t>
            </w:r>
            <w:r w:rsidRPr="003D114B">
              <w:rPr>
                <w:rStyle w:val="Hipercze"/>
                <w:noProof/>
                <w:lang w:eastAsia="ko-KR"/>
              </w:rPr>
              <w:t>B</w:t>
            </w:r>
            <w:r w:rsidRPr="003D114B">
              <w:rPr>
                <w:rStyle w:val="Hipercze"/>
                <w:noProof/>
              </w:rPr>
              <w:t xml:space="preserve"> – Results Report Form </w:t>
            </w:r>
            <w:r>
              <w:rPr>
                <w:noProof/>
                <w:webHidden/>
              </w:rPr>
              <w:tab/>
            </w:r>
            <w:r>
              <w:rPr>
                <w:noProof/>
                <w:webHidden/>
              </w:rPr>
              <w:fldChar w:fldCharType="begin"/>
            </w:r>
            <w:r>
              <w:rPr>
                <w:noProof/>
                <w:webHidden/>
              </w:rPr>
              <w:instrText xml:space="preserve"> PAGEREF _Toc188960935 \h </w:instrText>
            </w:r>
            <w:r>
              <w:rPr>
                <w:noProof/>
                <w:webHidden/>
              </w:rPr>
            </w:r>
            <w:r>
              <w:rPr>
                <w:noProof/>
                <w:webHidden/>
              </w:rPr>
              <w:fldChar w:fldCharType="separate"/>
            </w:r>
            <w:r>
              <w:rPr>
                <w:noProof/>
                <w:webHidden/>
              </w:rPr>
              <w:t>11</w:t>
            </w:r>
            <w:r>
              <w:rPr>
                <w:noProof/>
                <w:webHidden/>
              </w:rPr>
              <w:fldChar w:fldCharType="end"/>
            </w:r>
          </w:hyperlink>
        </w:p>
        <w:p w14:paraId="6F9E7488" w14:textId="015A5460" w:rsidR="0038270C" w:rsidRDefault="0038270C">
          <w:pPr>
            <w:pStyle w:val="Spistreci1"/>
            <w:tabs>
              <w:tab w:val="right" w:leader="dot" w:pos="9323"/>
            </w:tabs>
            <w:rPr>
              <w:rFonts w:asciiTheme="minorHAnsi" w:eastAsiaTheme="minorEastAsia" w:hAnsiTheme="minorHAnsi" w:cstheme="minorBidi"/>
              <w:noProof/>
              <w:kern w:val="2"/>
              <w:sz w:val="24"/>
              <w:szCs w:val="24"/>
              <w:lang w:val="pl-PL" w:eastAsia="pl-PL"/>
              <w14:ligatures w14:val="standardContextual"/>
            </w:rPr>
          </w:pPr>
          <w:hyperlink w:anchor="_Toc188960936" w:history="1">
            <w:r w:rsidRPr="003D114B">
              <w:rPr>
                <w:rStyle w:val="Hipercze"/>
                <w:noProof/>
              </w:rPr>
              <w:t xml:space="preserve">Appendix </w:t>
            </w:r>
            <w:r w:rsidRPr="003D114B">
              <w:rPr>
                <w:rStyle w:val="Hipercze"/>
                <w:noProof/>
                <w:lang w:eastAsia="ko-KR"/>
              </w:rPr>
              <w:t>C</w:t>
            </w:r>
            <w:r w:rsidRPr="003D114B">
              <w:rPr>
                <w:rStyle w:val="Hipercze"/>
                <w:noProof/>
              </w:rPr>
              <w:t xml:space="preserve"> –– Description of the measurement instrument</w:t>
            </w:r>
            <w:r>
              <w:rPr>
                <w:noProof/>
                <w:webHidden/>
              </w:rPr>
              <w:tab/>
            </w:r>
            <w:r>
              <w:rPr>
                <w:noProof/>
                <w:webHidden/>
              </w:rPr>
              <w:fldChar w:fldCharType="begin"/>
            </w:r>
            <w:r>
              <w:rPr>
                <w:noProof/>
                <w:webHidden/>
              </w:rPr>
              <w:instrText xml:space="preserve"> PAGEREF _Toc188960936 \h </w:instrText>
            </w:r>
            <w:r>
              <w:rPr>
                <w:noProof/>
                <w:webHidden/>
              </w:rPr>
            </w:r>
            <w:r>
              <w:rPr>
                <w:noProof/>
                <w:webHidden/>
              </w:rPr>
              <w:fldChar w:fldCharType="separate"/>
            </w:r>
            <w:r>
              <w:rPr>
                <w:noProof/>
                <w:webHidden/>
              </w:rPr>
              <w:t>16</w:t>
            </w:r>
            <w:r>
              <w:rPr>
                <w:noProof/>
                <w:webHidden/>
              </w:rPr>
              <w:fldChar w:fldCharType="end"/>
            </w:r>
          </w:hyperlink>
        </w:p>
        <w:p w14:paraId="2518C20E" w14:textId="2CE985AF" w:rsidR="00C8571C" w:rsidRPr="00D47925" w:rsidRDefault="00C8571C">
          <w:pPr>
            <w:rPr>
              <w:lang w:val="en-GB"/>
            </w:rPr>
          </w:pPr>
          <w:r w:rsidRPr="00D47925">
            <w:rPr>
              <w:b/>
              <w:bCs/>
              <w:lang w:val="en-GB"/>
            </w:rPr>
            <w:fldChar w:fldCharType="end"/>
          </w:r>
        </w:p>
      </w:sdtContent>
    </w:sdt>
    <w:p w14:paraId="762AE51D" w14:textId="66A46F10" w:rsidR="00D318EF" w:rsidRPr="00190198" w:rsidRDefault="00D318EF" w:rsidP="003D5185">
      <w:pPr>
        <w:jc w:val="center"/>
        <w:rPr>
          <w:rFonts w:ascii="Arial" w:hAnsi="Arial"/>
          <w:b/>
          <w:bCs/>
          <w:sz w:val="36"/>
          <w:lang w:val="en-GB"/>
        </w:rPr>
      </w:pPr>
    </w:p>
    <w:p w14:paraId="00DAC797" w14:textId="64279F54" w:rsidR="003D5185" w:rsidRPr="00190198" w:rsidRDefault="003D5185" w:rsidP="003D5185">
      <w:pPr>
        <w:jc w:val="center"/>
        <w:rPr>
          <w:rFonts w:ascii="Arial" w:hAnsi="Arial"/>
          <w:b/>
          <w:bCs/>
          <w:sz w:val="36"/>
          <w:lang w:val="en-GB"/>
        </w:rPr>
      </w:pPr>
    </w:p>
    <w:p w14:paraId="086ED1B9" w14:textId="2C95913B" w:rsidR="003166A3" w:rsidRPr="00190198" w:rsidRDefault="003166A3">
      <w:pPr>
        <w:spacing w:after="160" w:line="259" w:lineRule="auto"/>
        <w:jc w:val="left"/>
        <w:rPr>
          <w:rFonts w:ascii="Arial" w:hAnsi="Arial"/>
          <w:b/>
          <w:bCs/>
          <w:sz w:val="36"/>
          <w:lang w:val="en-GB"/>
        </w:rPr>
      </w:pPr>
      <w:r w:rsidRPr="00190198">
        <w:rPr>
          <w:rFonts w:ascii="Arial" w:hAnsi="Arial"/>
          <w:b/>
          <w:bCs/>
          <w:sz w:val="36"/>
          <w:lang w:val="en-GB"/>
        </w:rPr>
        <w:br w:type="page"/>
      </w:r>
    </w:p>
    <w:p w14:paraId="0E5BC5C7" w14:textId="53CBAEF5" w:rsidR="003D5185" w:rsidRPr="00190198" w:rsidRDefault="00206770" w:rsidP="00C8571C">
      <w:pPr>
        <w:pStyle w:val="Nagwek1"/>
        <w:numPr>
          <w:ilvl w:val="0"/>
          <w:numId w:val="6"/>
        </w:numPr>
        <w:ind w:left="357" w:hanging="357"/>
        <w:rPr>
          <w:sz w:val="22"/>
          <w:szCs w:val="22"/>
        </w:rPr>
      </w:pPr>
      <w:bookmarkStart w:id="1" w:name="_Toc188960911"/>
      <w:r w:rsidRPr="00190198">
        <w:rPr>
          <w:sz w:val="22"/>
          <w:szCs w:val="22"/>
        </w:rPr>
        <w:lastRenderedPageBreak/>
        <w:t>Document control</w:t>
      </w:r>
      <w:bookmarkEnd w:id="1"/>
    </w:p>
    <w:p w14:paraId="3A9BF75B" w14:textId="34ECA1AE" w:rsidR="00F55ED1" w:rsidRPr="00E25769" w:rsidRDefault="008A2260" w:rsidP="00372DC9">
      <w:pPr>
        <w:jc w:val="left"/>
        <w:rPr>
          <w:b/>
          <w:bCs/>
        </w:rPr>
      </w:pPr>
      <w:r w:rsidRPr="008A2260">
        <w:rPr>
          <w:b/>
          <w:bCs/>
        </w:rPr>
        <w:t>Version rev0</w:t>
      </w:r>
      <w:r>
        <w:rPr>
          <w:b/>
          <w:bCs/>
        </w:rPr>
        <w:t xml:space="preserve"> </w:t>
      </w:r>
      <w:r w:rsidRPr="008A2260">
        <w:rPr>
          <w:b/>
          <w:bCs/>
        </w:rPr>
        <w:t xml:space="preserve"> Issued on September 2024</w:t>
      </w:r>
    </w:p>
    <w:p w14:paraId="2FB199BC" w14:textId="5B30F527" w:rsidR="00206770" w:rsidRPr="00190198" w:rsidRDefault="00206770" w:rsidP="00C8571C">
      <w:pPr>
        <w:pStyle w:val="Nagwek1"/>
        <w:numPr>
          <w:ilvl w:val="0"/>
          <w:numId w:val="6"/>
        </w:numPr>
        <w:ind w:left="357" w:hanging="357"/>
        <w:rPr>
          <w:sz w:val="22"/>
          <w:szCs w:val="22"/>
        </w:rPr>
      </w:pPr>
      <w:bookmarkStart w:id="2" w:name="_Toc188960912"/>
      <w:r w:rsidRPr="00190198">
        <w:rPr>
          <w:sz w:val="22"/>
          <w:szCs w:val="22"/>
        </w:rPr>
        <w:t>Introduction</w:t>
      </w:r>
      <w:bookmarkEnd w:id="2"/>
    </w:p>
    <w:p w14:paraId="26E45A3F" w14:textId="675C8E66" w:rsidR="003C07A8" w:rsidRDefault="003C07A8" w:rsidP="00D318EF">
      <w:pPr>
        <w:tabs>
          <w:tab w:val="right" w:pos="9356"/>
        </w:tabs>
        <w:ind w:right="4"/>
        <w:rPr>
          <w:szCs w:val="22"/>
          <w:lang w:val="en-GB"/>
        </w:rPr>
      </w:pPr>
      <w:r w:rsidRPr="00190198">
        <w:rPr>
          <w:szCs w:val="22"/>
          <w:lang w:val="en-GB"/>
        </w:rPr>
        <w:t>The metrological equivalence of national measurement standards and of calibration certificates issued by national metrology institutes is established by a set of key and supplementary comparisons chosen and organized by the Consultative Committees of the CIPM or by the regional metrology organizations in collaboration with the Consultative Committees.</w:t>
      </w:r>
    </w:p>
    <w:p w14:paraId="4120B99A" w14:textId="5B5C3393" w:rsidR="002F49BF" w:rsidRPr="00E25769" w:rsidRDefault="002F49BF" w:rsidP="00D318EF">
      <w:pPr>
        <w:tabs>
          <w:tab w:val="right" w:pos="9356"/>
        </w:tabs>
        <w:ind w:right="4"/>
        <w:rPr>
          <w:szCs w:val="22"/>
        </w:rPr>
      </w:pPr>
      <w:r w:rsidRPr="00E25769">
        <w:rPr>
          <w:szCs w:val="22"/>
        </w:rPr>
        <w:t xml:space="preserve">At its meeting in October 2023, the EURAMET Technical Committee for Length, decided upon a key comparison on </w:t>
      </w:r>
      <w:r w:rsidR="000A2732">
        <w:rPr>
          <w:szCs w:val="22"/>
        </w:rPr>
        <w:t>roundness standards</w:t>
      </w:r>
      <w:r w:rsidRPr="00E25769">
        <w:rPr>
          <w:szCs w:val="22"/>
        </w:rPr>
        <w:t>, named EURAMET.L-K4.n</w:t>
      </w:r>
      <w:r w:rsidR="0068605C">
        <w:rPr>
          <w:szCs w:val="22"/>
        </w:rPr>
        <w:t>02</w:t>
      </w:r>
      <w:r w:rsidRPr="00E25769">
        <w:rPr>
          <w:szCs w:val="22"/>
        </w:rPr>
        <w:t xml:space="preserve">, with </w:t>
      </w:r>
      <w:r w:rsidR="000A2732">
        <w:rPr>
          <w:szCs w:val="22"/>
        </w:rPr>
        <w:t>GUM</w:t>
      </w:r>
      <w:r w:rsidRPr="00E25769">
        <w:rPr>
          <w:szCs w:val="22"/>
        </w:rPr>
        <w:t xml:space="preserve"> as the pilot laboratory. </w:t>
      </w:r>
      <w:r w:rsidR="008A2260">
        <w:rPr>
          <w:szCs w:val="22"/>
        </w:rPr>
        <w:br/>
      </w:r>
      <w:r w:rsidRPr="00E25769">
        <w:rPr>
          <w:szCs w:val="22"/>
        </w:rPr>
        <w:t xml:space="preserve">The EURAMET comparison will be registered by </w:t>
      </w:r>
      <w:r w:rsidR="000A2732">
        <w:rPr>
          <w:szCs w:val="22"/>
        </w:rPr>
        <w:t>November</w:t>
      </w:r>
      <w:r w:rsidRPr="00E25769">
        <w:rPr>
          <w:szCs w:val="22"/>
        </w:rPr>
        <w:t xml:space="preserve"> 2024, artefact circulation shall start in </w:t>
      </w:r>
      <w:r w:rsidR="00360BFB">
        <w:rPr>
          <w:szCs w:val="22"/>
        </w:rPr>
        <w:t>February</w:t>
      </w:r>
      <w:r w:rsidRPr="00E25769">
        <w:rPr>
          <w:szCs w:val="22"/>
        </w:rPr>
        <w:t xml:space="preserve"> 202</w:t>
      </w:r>
      <w:r w:rsidR="000A2732">
        <w:rPr>
          <w:szCs w:val="22"/>
        </w:rPr>
        <w:t>5</w:t>
      </w:r>
      <w:r w:rsidRPr="00E25769">
        <w:rPr>
          <w:szCs w:val="22"/>
        </w:rPr>
        <w:t xml:space="preserve"> and will be completed in </w:t>
      </w:r>
      <w:r w:rsidR="00360BFB">
        <w:rPr>
          <w:szCs w:val="22"/>
        </w:rPr>
        <w:t>September</w:t>
      </w:r>
      <w:r w:rsidRPr="00E25769">
        <w:rPr>
          <w:szCs w:val="22"/>
        </w:rPr>
        <w:t xml:space="preserve"> 202</w:t>
      </w:r>
      <w:r w:rsidR="008A2260">
        <w:rPr>
          <w:szCs w:val="22"/>
        </w:rPr>
        <w:t>5</w:t>
      </w:r>
      <w:r w:rsidRPr="00E25769">
        <w:rPr>
          <w:szCs w:val="22"/>
        </w:rPr>
        <w:t>.</w:t>
      </w:r>
    </w:p>
    <w:p w14:paraId="15197FA3" w14:textId="595C7889" w:rsidR="003C07A8" w:rsidRPr="00190198" w:rsidRDefault="003C07A8" w:rsidP="00D318EF">
      <w:pPr>
        <w:pStyle w:val="Tekstkomentarza"/>
        <w:rPr>
          <w:sz w:val="22"/>
          <w:szCs w:val="22"/>
          <w:lang w:val="en-GB"/>
        </w:rPr>
      </w:pPr>
      <w:r w:rsidRPr="00190198">
        <w:rPr>
          <w:sz w:val="22"/>
          <w:szCs w:val="22"/>
          <w:lang w:val="en-GB"/>
        </w:rPr>
        <w:t xml:space="preserve">The results of this international comparison will support the Calibration and Measurement Capabilities (CMCs) declared by the NMIs in the CIPM Mutual Recognition Arrangement (MRA). </w:t>
      </w:r>
    </w:p>
    <w:p w14:paraId="5606F9D8" w14:textId="1B4FFD8C" w:rsidR="00206770" w:rsidRPr="00190198" w:rsidRDefault="00206770" w:rsidP="00C8571C">
      <w:pPr>
        <w:pStyle w:val="Nagwek1"/>
        <w:numPr>
          <w:ilvl w:val="0"/>
          <w:numId w:val="6"/>
        </w:numPr>
        <w:ind w:left="357" w:hanging="357"/>
        <w:rPr>
          <w:sz w:val="22"/>
          <w:szCs w:val="22"/>
        </w:rPr>
      </w:pPr>
      <w:bookmarkStart w:id="3" w:name="_Toc188960913"/>
      <w:r w:rsidRPr="00190198">
        <w:rPr>
          <w:sz w:val="22"/>
          <w:szCs w:val="22"/>
        </w:rPr>
        <w:t>Organization</w:t>
      </w:r>
      <w:bookmarkEnd w:id="3"/>
    </w:p>
    <w:p w14:paraId="31FEA45F" w14:textId="720F8607" w:rsidR="00B554EE" w:rsidRPr="00190198" w:rsidRDefault="00B554EE" w:rsidP="00D318EF">
      <w:pPr>
        <w:tabs>
          <w:tab w:val="right" w:pos="9356"/>
        </w:tabs>
        <w:ind w:right="4"/>
        <w:rPr>
          <w:lang w:val="en-GB"/>
        </w:rPr>
      </w:pPr>
      <w:r w:rsidRPr="00190198">
        <w:rPr>
          <w:lang w:val="en-GB"/>
        </w:rPr>
        <w:t>The participating laboratories are NMIs fulfilling the following conditions</w:t>
      </w:r>
      <w:r w:rsidR="00BD4E74">
        <w:rPr>
          <w:lang w:val="en-GB"/>
        </w:rPr>
        <w:t>:</w:t>
      </w:r>
    </w:p>
    <w:p w14:paraId="7959324E" w14:textId="77777777" w:rsidR="001214CA" w:rsidRPr="00D47925" w:rsidRDefault="001214CA" w:rsidP="001214CA">
      <w:pPr>
        <w:pStyle w:val="Akapitzlist"/>
        <w:numPr>
          <w:ilvl w:val="0"/>
          <w:numId w:val="2"/>
        </w:numPr>
        <w:tabs>
          <w:tab w:val="right" w:pos="9356"/>
        </w:tabs>
        <w:spacing w:after="120"/>
        <w:ind w:right="6"/>
        <w:rPr>
          <w:lang w:val="en-GB"/>
        </w:rPr>
      </w:pPr>
      <w:r w:rsidRPr="00D47925">
        <w:rPr>
          <w:lang w:val="en-GB"/>
        </w:rPr>
        <w:t xml:space="preserve">signatory (or applicant) of the CIPM MRA; </w:t>
      </w:r>
    </w:p>
    <w:p w14:paraId="4BEBD64D" w14:textId="5D7AFBDD" w:rsidR="001214CA" w:rsidRPr="00D47925" w:rsidRDefault="001214CA" w:rsidP="001214CA">
      <w:pPr>
        <w:pStyle w:val="Akapitzlist"/>
        <w:numPr>
          <w:ilvl w:val="0"/>
          <w:numId w:val="2"/>
        </w:numPr>
        <w:tabs>
          <w:tab w:val="right" w:pos="9356"/>
        </w:tabs>
        <w:spacing w:after="120"/>
        <w:ind w:right="6"/>
        <w:rPr>
          <w:lang w:val="en-GB"/>
        </w:rPr>
      </w:pPr>
      <w:r w:rsidRPr="00D47925">
        <w:rPr>
          <w:lang w:val="en-GB"/>
        </w:rPr>
        <w:t xml:space="preserve">having submitted CMCs for </w:t>
      </w:r>
      <w:r w:rsidR="00E7451F">
        <w:rPr>
          <w:lang w:val="en-GB"/>
        </w:rPr>
        <w:t>roundness</w:t>
      </w:r>
      <w:r w:rsidRPr="00D47925">
        <w:rPr>
          <w:lang w:val="en-GB"/>
        </w:rPr>
        <w:t xml:space="preserve"> calibration (or intending to do so soon); </w:t>
      </w:r>
    </w:p>
    <w:p w14:paraId="195EE70E" w14:textId="1E6D2CF6" w:rsidR="001214CA" w:rsidRPr="00D47925" w:rsidRDefault="001214CA" w:rsidP="001214CA">
      <w:pPr>
        <w:pStyle w:val="Akapitzlist"/>
        <w:numPr>
          <w:ilvl w:val="0"/>
          <w:numId w:val="2"/>
        </w:numPr>
        <w:tabs>
          <w:tab w:val="right" w:pos="9356"/>
        </w:tabs>
        <w:spacing w:after="120"/>
        <w:ind w:right="6"/>
        <w:rPr>
          <w:lang w:val="en-GB"/>
        </w:rPr>
      </w:pPr>
      <w:r w:rsidRPr="00D47925">
        <w:rPr>
          <w:lang w:val="en-GB"/>
        </w:rPr>
        <w:t xml:space="preserve">calibrating </w:t>
      </w:r>
      <w:r w:rsidR="00E7451F">
        <w:rPr>
          <w:lang w:val="en-GB"/>
        </w:rPr>
        <w:t>roundness standards</w:t>
      </w:r>
      <w:r w:rsidRPr="00D47925">
        <w:rPr>
          <w:lang w:val="en-GB"/>
        </w:rPr>
        <w:t xml:space="preserve"> for their customers as a regular service; </w:t>
      </w:r>
    </w:p>
    <w:p w14:paraId="22754BD2" w14:textId="6EE1865B" w:rsidR="001214CA" w:rsidRPr="00D47925" w:rsidRDefault="001214CA" w:rsidP="001214CA">
      <w:pPr>
        <w:pStyle w:val="Akapitzlist"/>
        <w:numPr>
          <w:ilvl w:val="0"/>
          <w:numId w:val="2"/>
        </w:numPr>
        <w:tabs>
          <w:tab w:val="right" w:pos="9356"/>
        </w:tabs>
        <w:spacing w:after="120"/>
        <w:ind w:right="6"/>
        <w:rPr>
          <w:lang w:val="en-GB"/>
        </w:rPr>
      </w:pPr>
      <w:r w:rsidRPr="00D47925">
        <w:rPr>
          <w:lang w:val="en-GB"/>
        </w:rPr>
        <w:t xml:space="preserve">being well trained in handling </w:t>
      </w:r>
      <w:r w:rsidR="00E7451F">
        <w:rPr>
          <w:lang w:val="en-GB"/>
        </w:rPr>
        <w:t xml:space="preserve">roundness standards </w:t>
      </w:r>
      <w:r w:rsidRPr="00D47925">
        <w:rPr>
          <w:lang w:val="en-GB"/>
        </w:rPr>
        <w:t xml:space="preserve">without the risk to damage them; </w:t>
      </w:r>
    </w:p>
    <w:p w14:paraId="0766CB52" w14:textId="4876086B" w:rsidR="003C07A8" w:rsidRPr="00190198" w:rsidRDefault="003C07A8" w:rsidP="00C8571C">
      <w:pPr>
        <w:pStyle w:val="Nagwek1"/>
        <w:numPr>
          <w:ilvl w:val="1"/>
          <w:numId w:val="6"/>
        </w:numPr>
        <w:ind w:left="357" w:hanging="357"/>
        <w:rPr>
          <w:sz w:val="22"/>
          <w:szCs w:val="22"/>
        </w:rPr>
      </w:pPr>
      <w:bookmarkStart w:id="4" w:name="_Toc188960914"/>
      <w:r w:rsidRPr="00190198">
        <w:rPr>
          <w:sz w:val="22"/>
          <w:szCs w:val="22"/>
        </w:rPr>
        <w:t>Participants</w:t>
      </w:r>
      <w:bookmarkEnd w:id="4"/>
    </w:p>
    <w:p w14:paraId="56F2A913" w14:textId="04CEA5B6" w:rsidR="003C07A8" w:rsidRPr="00190198" w:rsidRDefault="003C07A8" w:rsidP="003C07A8">
      <w:pPr>
        <w:pStyle w:val="Legenda"/>
        <w:keepNext/>
        <w:rPr>
          <w:color w:val="FF0000"/>
          <w:sz w:val="22"/>
          <w:highlight w:val="yellow"/>
          <w:lang w:val="en-GB"/>
        </w:rPr>
      </w:pPr>
      <w:r w:rsidRPr="00190198">
        <w:rPr>
          <w:sz w:val="22"/>
          <w:szCs w:val="22"/>
          <w:lang w:val="en-GB"/>
        </w:rPr>
        <w:t xml:space="preserve">Table </w:t>
      </w:r>
      <w:r w:rsidRPr="00987C06">
        <w:rPr>
          <w:sz w:val="22"/>
          <w:szCs w:val="22"/>
          <w:lang w:val="en-GB"/>
        </w:rPr>
        <w:fldChar w:fldCharType="begin"/>
      </w:r>
      <w:r w:rsidRPr="00190198">
        <w:rPr>
          <w:sz w:val="22"/>
          <w:szCs w:val="22"/>
          <w:lang w:val="en-GB"/>
        </w:rPr>
        <w:instrText xml:space="preserve"> SEQ Table \* ARABIC </w:instrText>
      </w:r>
      <w:r w:rsidRPr="00987C06">
        <w:rPr>
          <w:sz w:val="22"/>
          <w:szCs w:val="22"/>
          <w:lang w:val="en-GB"/>
        </w:rPr>
        <w:fldChar w:fldCharType="separate"/>
      </w:r>
      <w:r w:rsidRPr="00190198">
        <w:rPr>
          <w:noProof/>
          <w:sz w:val="22"/>
          <w:szCs w:val="22"/>
          <w:lang w:val="en-GB"/>
        </w:rPr>
        <w:t>1</w:t>
      </w:r>
      <w:r w:rsidRPr="00987C06">
        <w:rPr>
          <w:sz w:val="22"/>
          <w:szCs w:val="22"/>
          <w:lang w:val="en-GB"/>
        </w:rPr>
        <w:fldChar w:fldCharType="end"/>
      </w:r>
      <w:r w:rsidRPr="00190198">
        <w:rPr>
          <w:sz w:val="22"/>
          <w:szCs w:val="22"/>
          <w:lang w:val="en-GB"/>
        </w:rPr>
        <w:t xml:space="preserve">. </w:t>
      </w:r>
      <w:r w:rsidRPr="00190198">
        <w:rPr>
          <w:b w:val="0"/>
          <w:bCs w:val="0"/>
          <w:sz w:val="22"/>
          <w:szCs w:val="22"/>
          <w:lang w:val="en-GB"/>
        </w:rPr>
        <w:t>List of participant laboratories and their contacts.</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177"/>
        <w:gridCol w:w="3052"/>
      </w:tblGrid>
      <w:tr w:rsidR="003720CF" w:rsidRPr="004335A4" w14:paraId="220C7F78" w14:textId="77777777" w:rsidTr="00356FBE">
        <w:tc>
          <w:tcPr>
            <w:tcW w:w="1418" w:type="dxa"/>
          </w:tcPr>
          <w:p w14:paraId="1257478E" w14:textId="57A9D8DA" w:rsidR="003720CF" w:rsidRPr="004335A4" w:rsidRDefault="003720CF" w:rsidP="00495B69">
            <w:pPr>
              <w:snapToGrid w:val="0"/>
              <w:spacing w:after="0"/>
              <w:jc w:val="left"/>
              <w:rPr>
                <w:rFonts w:cs="Calibri"/>
                <w:b/>
                <w:color w:val="000000"/>
                <w:sz w:val="20"/>
                <w:lang w:val="en-GB"/>
              </w:rPr>
            </w:pPr>
            <w:bookmarkStart w:id="5" w:name="_Hlk184377495"/>
            <w:r w:rsidRPr="004335A4">
              <w:rPr>
                <w:rFonts w:cs="Calibri"/>
                <w:b/>
                <w:color w:val="000000"/>
                <w:sz w:val="20"/>
                <w:lang w:val="en-GB"/>
              </w:rPr>
              <w:t>NMI code</w:t>
            </w:r>
          </w:p>
        </w:tc>
        <w:tc>
          <w:tcPr>
            <w:tcW w:w="4177" w:type="dxa"/>
            <w:vAlign w:val="center"/>
          </w:tcPr>
          <w:p w14:paraId="2FCD8347" w14:textId="209A6484" w:rsidR="003720CF" w:rsidRPr="004335A4" w:rsidRDefault="003720CF" w:rsidP="00E25769">
            <w:pPr>
              <w:pStyle w:val="Default"/>
              <w:rPr>
                <w:sz w:val="20"/>
                <w:szCs w:val="20"/>
              </w:rPr>
            </w:pPr>
            <w:r w:rsidRPr="004335A4">
              <w:rPr>
                <w:b/>
                <w:bCs/>
                <w:sz w:val="20"/>
                <w:szCs w:val="20"/>
              </w:rPr>
              <w:t xml:space="preserve">Contact person, Laboratory </w:t>
            </w:r>
          </w:p>
        </w:tc>
        <w:tc>
          <w:tcPr>
            <w:tcW w:w="3052" w:type="dxa"/>
            <w:vAlign w:val="center"/>
          </w:tcPr>
          <w:p w14:paraId="6DC462BB" w14:textId="503DF692" w:rsidR="003720CF" w:rsidRPr="004335A4" w:rsidRDefault="00B83926" w:rsidP="00E25769">
            <w:pPr>
              <w:pStyle w:val="Default"/>
              <w:rPr>
                <w:sz w:val="20"/>
                <w:szCs w:val="20"/>
              </w:rPr>
            </w:pPr>
            <w:r w:rsidRPr="004335A4">
              <w:rPr>
                <w:b/>
                <w:bCs/>
                <w:sz w:val="20"/>
                <w:szCs w:val="20"/>
              </w:rPr>
              <w:t>Contact</w:t>
            </w:r>
          </w:p>
        </w:tc>
      </w:tr>
      <w:tr w:rsidR="00FE34DF" w:rsidRPr="004335A4" w14:paraId="2F8B6C6E" w14:textId="77777777" w:rsidTr="00B45549">
        <w:trPr>
          <w:trHeight w:val="383"/>
        </w:trPr>
        <w:tc>
          <w:tcPr>
            <w:tcW w:w="1418" w:type="dxa"/>
          </w:tcPr>
          <w:p w14:paraId="6EA6CB33" w14:textId="33965EAC" w:rsidR="00FE34DF" w:rsidRPr="004335A4" w:rsidRDefault="00FE34DF" w:rsidP="00FE34DF">
            <w:pPr>
              <w:snapToGrid w:val="0"/>
              <w:spacing w:after="0"/>
              <w:jc w:val="left"/>
              <w:rPr>
                <w:rFonts w:cs="Calibri"/>
                <w:snapToGrid w:val="0"/>
                <w:color w:val="000000"/>
                <w:sz w:val="20"/>
                <w:lang w:val="en-GB" w:eastAsia="de-DE"/>
              </w:rPr>
            </w:pPr>
            <w:r w:rsidRPr="004335A4">
              <w:rPr>
                <w:rFonts w:cs="Calibri"/>
                <w:color w:val="000000"/>
                <w:sz w:val="20"/>
                <w:lang w:val="en-GB"/>
              </w:rPr>
              <w:t>GUM</w:t>
            </w:r>
          </w:p>
        </w:tc>
        <w:tc>
          <w:tcPr>
            <w:tcW w:w="4177" w:type="dxa"/>
          </w:tcPr>
          <w:p w14:paraId="42073F80" w14:textId="712A3774" w:rsidR="00B83926" w:rsidRPr="004335A4" w:rsidRDefault="00FE34DF" w:rsidP="00B75D40">
            <w:pPr>
              <w:pStyle w:val="Default"/>
              <w:rPr>
                <w:b/>
                <w:bCs/>
                <w:sz w:val="20"/>
                <w:szCs w:val="20"/>
              </w:rPr>
            </w:pPr>
            <w:r w:rsidRPr="004335A4">
              <w:rPr>
                <w:b/>
                <w:bCs/>
                <w:sz w:val="20"/>
                <w:szCs w:val="20"/>
              </w:rPr>
              <w:t>Czułek Dariusz</w:t>
            </w:r>
            <w:r w:rsidR="00360BFB">
              <w:rPr>
                <w:b/>
                <w:bCs/>
                <w:sz w:val="20"/>
                <w:szCs w:val="20"/>
              </w:rPr>
              <w:t>, Kamil Kubiak</w:t>
            </w:r>
          </w:p>
          <w:p w14:paraId="6AA85557" w14:textId="77777777" w:rsidR="00B83926" w:rsidRPr="004335A4" w:rsidRDefault="00B83926" w:rsidP="00B75D40">
            <w:pPr>
              <w:pStyle w:val="Default"/>
              <w:rPr>
                <w:sz w:val="20"/>
                <w:szCs w:val="20"/>
              </w:rPr>
            </w:pPr>
            <w:r w:rsidRPr="004335A4">
              <w:rPr>
                <w:sz w:val="20"/>
                <w:szCs w:val="20"/>
              </w:rPr>
              <w:t>Główny Urząd Miar</w:t>
            </w:r>
          </w:p>
          <w:p w14:paraId="5617DDAE" w14:textId="75FF9FF4" w:rsidR="00FE34DF" w:rsidRPr="004335A4" w:rsidRDefault="00FE34DF" w:rsidP="00B75D40">
            <w:pPr>
              <w:pStyle w:val="Default"/>
              <w:rPr>
                <w:sz w:val="20"/>
                <w:szCs w:val="20"/>
              </w:rPr>
            </w:pPr>
            <w:r w:rsidRPr="004335A4">
              <w:rPr>
                <w:sz w:val="20"/>
                <w:szCs w:val="20"/>
              </w:rPr>
              <w:t>Elektoralna 2</w:t>
            </w:r>
          </w:p>
          <w:p w14:paraId="6CA03333" w14:textId="2ACAD851" w:rsidR="00FE34DF" w:rsidRPr="004335A4" w:rsidRDefault="00FE34DF" w:rsidP="00B75D40">
            <w:pPr>
              <w:pStyle w:val="Default"/>
              <w:rPr>
                <w:sz w:val="20"/>
                <w:szCs w:val="20"/>
              </w:rPr>
            </w:pPr>
            <w:r w:rsidRPr="004335A4">
              <w:rPr>
                <w:sz w:val="20"/>
                <w:szCs w:val="20"/>
              </w:rPr>
              <w:t>00-</w:t>
            </w:r>
            <w:r w:rsidR="00B83926" w:rsidRPr="004335A4">
              <w:rPr>
                <w:sz w:val="20"/>
                <w:szCs w:val="20"/>
              </w:rPr>
              <w:t>139</w:t>
            </w:r>
            <w:r w:rsidRPr="004335A4">
              <w:rPr>
                <w:sz w:val="20"/>
                <w:szCs w:val="20"/>
              </w:rPr>
              <w:t xml:space="preserve"> Warsaw</w:t>
            </w:r>
          </w:p>
          <w:p w14:paraId="7981C95F" w14:textId="42D952CC" w:rsidR="00FE34DF" w:rsidRPr="004335A4" w:rsidRDefault="00FE34DF" w:rsidP="00B75D40">
            <w:pPr>
              <w:snapToGrid w:val="0"/>
              <w:spacing w:after="0"/>
              <w:jc w:val="left"/>
              <w:rPr>
                <w:rFonts w:cs="Calibri"/>
                <w:b/>
                <w:color w:val="000000"/>
                <w:sz w:val="20"/>
                <w:lang w:val="pl-PL"/>
              </w:rPr>
            </w:pPr>
            <w:r w:rsidRPr="004335A4">
              <w:rPr>
                <w:sz w:val="20"/>
                <w:lang w:val="pl-PL"/>
              </w:rPr>
              <w:t>Poland</w:t>
            </w:r>
          </w:p>
        </w:tc>
        <w:tc>
          <w:tcPr>
            <w:tcW w:w="3052" w:type="dxa"/>
          </w:tcPr>
          <w:p w14:paraId="544443BB" w14:textId="5E700336" w:rsidR="00B75D40" w:rsidRPr="004335A4" w:rsidRDefault="00B45549" w:rsidP="00283805">
            <w:pPr>
              <w:tabs>
                <w:tab w:val="left" w:pos="680"/>
                <w:tab w:val="left" w:pos="6237"/>
              </w:tabs>
              <w:spacing w:after="0"/>
              <w:ind w:left="-67"/>
              <w:jc w:val="left"/>
              <w:rPr>
                <w:sz w:val="20"/>
                <w:lang w:val="en-GB"/>
              </w:rPr>
            </w:pPr>
            <w:r w:rsidRPr="004335A4">
              <w:rPr>
                <w:sz w:val="20"/>
                <w:lang w:val="en-GB"/>
              </w:rPr>
              <w:t xml:space="preserve"> </w:t>
            </w:r>
            <w:r w:rsidR="00B75D40" w:rsidRPr="004335A4">
              <w:rPr>
                <w:sz w:val="20"/>
                <w:lang w:val="en-GB"/>
              </w:rPr>
              <w:t xml:space="preserve">Tel.: </w:t>
            </w:r>
            <w:r w:rsidR="00B75D40" w:rsidRPr="004335A4">
              <w:rPr>
                <w:sz w:val="20"/>
                <w:lang w:val="en-GB"/>
              </w:rPr>
              <w:tab/>
            </w:r>
            <w:r w:rsidR="00356FBE" w:rsidRPr="004335A4">
              <w:rPr>
                <w:sz w:val="20"/>
                <w:lang w:val="en-GB"/>
              </w:rPr>
              <w:t>+48 22 581 95 43</w:t>
            </w:r>
          </w:p>
          <w:p w14:paraId="786F3826" w14:textId="2C9D20B9" w:rsidR="00A370A6" w:rsidRPr="004335A4" w:rsidRDefault="00A370A6" w:rsidP="00283805">
            <w:pPr>
              <w:tabs>
                <w:tab w:val="left" w:pos="680"/>
                <w:tab w:val="left" w:pos="6237"/>
              </w:tabs>
              <w:spacing w:after="0"/>
              <w:ind w:left="-67"/>
              <w:jc w:val="left"/>
              <w:rPr>
                <w:sz w:val="20"/>
                <w:lang w:val="en-GB"/>
              </w:rPr>
            </w:pPr>
            <w:r w:rsidRPr="004335A4">
              <w:rPr>
                <w:sz w:val="20"/>
                <w:lang w:val="en-GB"/>
              </w:rPr>
              <w:t xml:space="preserve"> </w:t>
            </w:r>
            <w:r w:rsidRPr="00A370A6">
              <w:rPr>
                <w:sz w:val="20"/>
                <w:lang w:val="en-GB"/>
              </w:rPr>
              <w:t xml:space="preserve">Fax: </w:t>
            </w:r>
            <w:r w:rsidRPr="00A370A6">
              <w:rPr>
                <w:sz w:val="20"/>
                <w:lang w:val="en-GB"/>
              </w:rPr>
              <w:tab/>
              <w:t>+48 22 581 93 92</w:t>
            </w:r>
          </w:p>
          <w:p w14:paraId="1DC5DE3D" w14:textId="2B8312AB" w:rsidR="00FE34DF" w:rsidRPr="004335A4" w:rsidRDefault="00B45549" w:rsidP="00283805">
            <w:pPr>
              <w:tabs>
                <w:tab w:val="left" w:pos="680"/>
                <w:tab w:val="left" w:pos="6237"/>
              </w:tabs>
              <w:spacing w:after="0"/>
              <w:ind w:left="-67"/>
              <w:jc w:val="left"/>
              <w:rPr>
                <w:sz w:val="20"/>
                <w:lang w:val="en-GB"/>
              </w:rPr>
            </w:pPr>
            <w:r w:rsidRPr="004335A4">
              <w:rPr>
                <w:sz w:val="20"/>
                <w:lang w:val="en-GB"/>
              </w:rPr>
              <w:t xml:space="preserve"> </w:t>
            </w:r>
            <w:r w:rsidR="00B75D40" w:rsidRPr="004335A4">
              <w:rPr>
                <w:sz w:val="20"/>
                <w:lang w:val="en-GB"/>
              </w:rPr>
              <w:t xml:space="preserve">Email: </w:t>
            </w:r>
            <w:r w:rsidR="00B75D40" w:rsidRPr="004335A4">
              <w:rPr>
                <w:sz w:val="20"/>
                <w:lang w:val="en-GB"/>
              </w:rPr>
              <w:tab/>
            </w:r>
            <w:r w:rsidR="00FE34DF" w:rsidRPr="004335A4">
              <w:rPr>
                <w:sz w:val="20"/>
                <w:lang w:val="en-GB"/>
              </w:rPr>
              <w:t>dariusz.czulek@gum.gov.pl</w:t>
            </w:r>
          </w:p>
          <w:p w14:paraId="03174A56" w14:textId="3550F34A" w:rsidR="00FE34DF" w:rsidRPr="004335A4" w:rsidRDefault="00FE34DF" w:rsidP="00283805">
            <w:pPr>
              <w:spacing w:after="0"/>
              <w:jc w:val="left"/>
              <w:rPr>
                <w:b/>
                <w:sz w:val="20"/>
                <w:lang w:val="en-GB"/>
              </w:rPr>
            </w:pPr>
          </w:p>
        </w:tc>
      </w:tr>
      <w:tr w:rsidR="00FE34DF" w:rsidRPr="004335A4" w14:paraId="2425B6B3" w14:textId="77777777" w:rsidTr="00B45549">
        <w:tc>
          <w:tcPr>
            <w:tcW w:w="1418" w:type="dxa"/>
          </w:tcPr>
          <w:p w14:paraId="0B9AE543" w14:textId="7D2FA437" w:rsidR="00FE34DF" w:rsidRPr="004335A4" w:rsidRDefault="00FE34DF" w:rsidP="00FE34DF">
            <w:pPr>
              <w:snapToGrid w:val="0"/>
              <w:spacing w:after="0"/>
              <w:jc w:val="left"/>
              <w:rPr>
                <w:rFonts w:cs="Calibri"/>
                <w:snapToGrid w:val="0"/>
                <w:color w:val="000000"/>
                <w:sz w:val="20"/>
                <w:lang w:val="en-GB" w:eastAsia="de-DE"/>
              </w:rPr>
            </w:pPr>
            <w:r w:rsidRPr="004335A4">
              <w:rPr>
                <w:rFonts w:cs="Calibri"/>
                <w:snapToGrid w:val="0"/>
                <w:color w:val="000000"/>
                <w:sz w:val="20"/>
                <w:lang w:val="en-GB" w:eastAsia="de-DE"/>
              </w:rPr>
              <w:t>FSB</w:t>
            </w:r>
          </w:p>
        </w:tc>
        <w:tc>
          <w:tcPr>
            <w:tcW w:w="4177" w:type="dxa"/>
          </w:tcPr>
          <w:p w14:paraId="27BBBC88" w14:textId="264A3EDE" w:rsidR="00FE34DF" w:rsidRPr="004335A4" w:rsidRDefault="00FE34DF" w:rsidP="00B75D40">
            <w:pPr>
              <w:pStyle w:val="Default"/>
              <w:rPr>
                <w:sz w:val="20"/>
                <w:szCs w:val="20"/>
                <w:lang w:val="en-US"/>
              </w:rPr>
            </w:pPr>
            <w:r w:rsidRPr="004335A4">
              <w:rPr>
                <w:b/>
                <w:bCs/>
                <w:sz w:val="20"/>
                <w:szCs w:val="20"/>
                <w:lang w:val="en-US"/>
              </w:rPr>
              <w:t>Marko Katić</w:t>
            </w:r>
          </w:p>
          <w:p w14:paraId="683C6C45" w14:textId="7E270A6E" w:rsidR="00FE34DF" w:rsidRPr="004335A4" w:rsidRDefault="00FE34DF" w:rsidP="00B75D40">
            <w:pPr>
              <w:pStyle w:val="Default"/>
              <w:rPr>
                <w:sz w:val="20"/>
                <w:szCs w:val="20"/>
                <w:lang w:val="en-US"/>
              </w:rPr>
            </w:pPr>
            <w:r w:rsidRPr="004335A4">
              <w:rPr>
                <w:sz w:val="20"/>
                <w:szCs w:val="20"/>
                <w:lang w:val="en-US"/>
              </w:rPr>
              <w:t>Faculty of Mechanical Engineering and Naval Architecture. Laboratory for Precise Measurement of Length</w:t>
            </w:r>
          </w:p>
          <w:p w14:paraId="646B531E" w14:textId="77777777" w:rsidR="00B83926" w:rsidRPr="004335A4" w:rsidRDefault="00B83926" w:rsidP="00B75D40">
            <w:pPr>
              <w:pStyle w:val="Default"/>
              <w:rPr>
                <w:sz w:val="20"/>
                <w:szCs w:val="20"/>
                <w:lang w:val="en-US"/>
              </w:rPr>
            </w:pPr>
            <w:r w:rsidRPr="004335A4">
              <w:rPr>
                <w:sz w:val="20"/>
                <w:szCs w:val="20"/>
                <w:lang w:val="en-US"/>
              </w:rPr>
              <w:t>Ivana Lucica 5</w:t>
            </w:r>
            <w:r w:rsidRPr="004335A4">
              <w:rPr>
                <w:sz w:val="20"/>
                <w:szCs w:val="20"/>
                <w:lang w:val="en-US"/>
              </w:rPr>
              <w:br/>
              <w:t>1000 Zagreb</w:t>
            </w:r>
          </w:p>
          <w:p w14:paraId="5059FAA7" w14:textId="27A3FBF2" w:rsidR="00FE34DF" w:rsidRPr="004335A4" w:rsidRDefault="00FE34DF" w:rsidP="00B75D40">
            <w:pPr>
              <w:pStyle w:val="Default"/>
              <w:rPr>
                <w:b/>
                <w:bCs/>
                <w:sz w:val="20"/>
                <w:szCs w:val="20"/>
                <w:lang w:val="en-US"/>
              </w:rPr>
            </w:pPr>
            <w:r w:rsidRPr="004335A4">
              <w:rPr>
                <w:sz w:val="20"/>
                <w:szCs w:val="20"/>
              </w:rPr>
              <w:t>Croatia</w:t>
            </w:r>
          </w:p>
        </w:tc>
        <w:tc>
          <w:tcPr>
            <w:tcW w:w="3052" w:type="dxa"/>
          </w:tcPr>
          <w:p w14:paraId="64AE49E0" w14:textId="243055F4" w:rsidR="00B83926" w:rsidRPr="004335A4" w:rsidRDefault="00B75D40" w:rsidP="00283805">
            <w:pPr>
              <w:spacing w:after="0"/>
              <w:jc w:val="left"/>
              <w:rPr>
                <w:sz w:val="20"/>
              </w:rPr>
            </w:pPr>
            <w:r w:rsidRPr="004335A4">
              <w:rPr>
                <w:sz w:val="20"/>
                <w:lang w:val="en-GB"/>
              </w:rPr>
              <w:t>Tel.:</w:t>
            </w:r>
            <w:r w:rsidRPr="004335A4">
              <w:rPr>
                <w:sz w:val="20"/>
                <w:lang w:val="en-GB"/>
              </w:rPr>
              <w:tab/>
            </w:r>
            <w:r w:rsidR="00B83926" w:rsidRPr="004335A4">
              <w:rPr>
                <w:sz w:val="20"/>
              </w:rPr>
              <w:t>+385 161 68</w:t>
            </w:r>
            <w:r w:rsidR="00A370A6" w:rsidRPr="004335A4">
              <w:rPr>
                <w:sz w:val="20"/>
              </w:rPr>
              <w:t> </w:t>
            </w:r>
            <w:r w:rsidR="00B83926" w:rsidRPr="004335A4">
              <w:rPr>
                <w:sz w:val="20"/>
              </w:rPr>
              <w:t>327</w:t>
            </w:r>
          </w:p>
          <w:p w14:paraId="6574125A" w14:textId="6A284C91" w:rsidR="00A370A6" w:rsidRPr="004335A4" w:rsidRDefault="00A370A6" w:rsidP="00283805">
            <w:pPr>
              <w:spacing w:after="0"/>
              <w:jc w:val="left"/>
              <w:rPr>
                <w:sz w:val="20"/>
              </w:rPr>
            </w:pPr>
            <w:r w:rsidRPr="004335A4">
              <w:rPr>
                <w:sz w:val="20"/>
              </w:rPr>
              <w:t xml:space="preserve">Fax: </w:t>
            </w:r>
            <w:r w:rsidRPr="004335A4">
              <w:rPr>
                <w:sz w:val="20"/>
                <w:lang w:val="en-GB"/>
              </w:rPr>
              <w:tab/>
            </w:r>
            <w:r w:rsidRPr="004335A4">
              <w:rPr>
                <w:sz w:val="20"/>
              </w:rPr>
              <w:t>+385 1 6168 599</w:t>
            </w:r>
          </w:p>
          <w:p w14:paraId="72A14EE8" w14:textId="301C756D" w:rsidR="00FE34DF" w:rsidRPr="004335A4" w:rsidRDefault="00B75D40" w:rsidP="00283805">
            <w:pPr>
              <w:spacing w:after="0"/>
              <w:jc w:val="left"/>
              <w:rPr>
                <w:sz w:val="20"/>
              </w:rPr>
            </w:pPr>
            <w:r w:rsidRPr="004335A4">
              <w:rPr>
                <w:sz w:val="20"/>
              </w:rPr>
              <w:t>Email:</w:t>
            </w:r>
            <w:r w:rsidRPr="004335A4">
              <w:rPr>
                <w:sz w:val="20"/>
                <w:lang w:val="en-GB"/>
              </w:rPr>
              <w:t xml:space="preserve"> </w:t>
            </w:r>
            <w:r w:rsidRPr="004335A4">
              <w:rPr>
                <w:sz w:val="20"/>
                <w:lang w:val="en-GB"/>
              </w:rPr>
              <w:tab/>
            </w:r>
            <w:r w:rsidR="00FE34DF" w:rsidRPr="004335A4">
              <w:rPr>
                <w:sz w:val="20"/>
              </w:rPr>
              <w:t>marko.katic@fsb.unizg.hr</w:t>
            </w:r>
          </w:p>
          <w:p w14:paraId="20C2E4BF" w14:textId="77777777" w:rsidR="00B83926" w:rsidRPr="004335A4" w:rsidRDefault="00B83926" w:rsidP="00283805">
            <w:pPr>
              <w:spacing w:after="0"/>
              <w:jc w:val="left"/>
              <w:rPr>
                <w:sz w:val="20"/>
              </w:rPr>
            </w:pPr>
          </w:p>
          <w:p w14:paraId="26F1C52A" w14:textId="77777777" w:rsidR="00FE34DF" w:rsidRPr="004335A4" w:rsidRDefault="00FE34DF" w:rsidP="00283805">
            <w:pPr>
              <w:spacing w:after="0"/>
              <w:jc w:val="left"/>
              <w:rPr>
                <w:sz w:val="20"/>
              </w:rPr>
            </w:pPr>
          </w:p>
        </w:tc>
      </w:tr>
      <w:tr w:rsidR="00FE34DF" w:rsidRPr="004335A4" w14:paraId="1E0975D8" w14:textId="77777777" w:rsidTr="00B45549">
        <w:tc>
          <w:tcPr>
            <w:tcW w:w="1418" w:type="dxa"/>
          </w:tcPr>
          <w:p w14:paraId="71CAE7F1" w14:textId="3E8CA6E2" w:rsidR="00FE34DF" w:rsidRPr="004335A4" w:rsidRDefault="00FE34DF" w:rsidP="00FE34DF">
            <w:pPr>
              <w:snapToGrid w:val="0"/>
              <w:spacing w:after="0"/>
              <w:jc w:val="left"/>
              <w:rPr>
                <w:rFonts w:cs="Calibri"/>
                <w:color w:val="000000"/>
                <w:sz w:val="20"/>
                <w:lang w:val="en-GB"/>
              </w:rPr>
            </w:pPr>
            <w:r w:rsidRPr="004335A4">
              <w:rPr>
                <w:rFonts w:cs="Calibri"/>
                <w:color w:val="000000"/>
                <w:sz w:val="20"/>
                <w:lang w:val="en-GB"/>
              </w:rPr>
              <w:t>INM</w:t>
            </w:r>
          </w:p>
        </w:tc>
        <w:tc>
          <w:tcPr>
            <w:tcW w:w="4177" w:type="dxa"/>
          </w:tcPr>
          <w:p w14:paraId="6CBB0D11" w14:textId="71F588A7" w:rsidR="00B83926" w:rsidRPr="004335A4" w:rsidRDefault="00B83926" w:rsidP="00B75D40">
            <w:pPr>
              <w:pStyle w:val="Default"/>
              <w:rPr>
                <w:b/>
                <w:bCs/>
                <w:sz w:val="20"/>
                <w:szCs w:val="20"/>
                <w:lang w:val="en-GB"/>
              </w:rPr>
            </w:pPr>
            <w:r w:rsidRPr="004335A4">
              <w:rPr>
                <w:b/>
                <w:bCs/>
                <w:sz w:val="20"/>
                <w:szCs w:val="20"/>
                <w:lang w:val="en-GB"/>
              </w:rPr>
              <w:t>Lásló-Iozsef-Dragos Teodorescu</w:t>
            </w:r>
          </w:p>
          <w:p w14:paraId="75DB05DE" w14:textId="476D8B12" w:rsidR="00B75D40" w:rsidRPr="004335A4" w:rsidRDefault="00B75D40" w:rsidP="00B75D40">
            <w:pPr>
              <w:pStyle w:val="Default"/>
              <w:rPr>
                <w:sz w:val="20"/>
                <w:szCs w:val="20"/>
                <w:lang w:val="en-GB"/>
              </w:rPr>
            </w:pPr>
            <w:r w:rsidRPr="004335A4">
              <w:rPr>
                <w:sz w:val="20"/>
                <w:szCs w:val="20"/>
                <w:lang w:val="en-US"/>
              </w:rPr>
              <w:t xml:space="preserve">National Institute of Metrology </w:t>
            </w:r>
          </w:p>
          <w:p w14:paraId="4CEC0124" w14:textId="77777777" w:rsidR="00B83926" w:rsidRPr="004335A4" w:rsidRDefault="00B83926" w:rsidP="00B75D40">
            <w:pPr>
              <w:snapToGrid w:val="0"/>
              <w:spacing w:after="0"/>
              <w:jc w:val="left"/>
              <w:rPr>
                <w:rFonts w:eastAsiaTheme="minorHAnsi" w:cs="Calibri"/>
                <w:color w:val="000000"/>
                <w:sz w:val="20"/>
              </w:rPr>
            </w:pPr>
            <w:r w:rsidRPr="004335A4">
              <w:rPr>
                <w:rFonts w:eastAsiaTheme="minorHAnsi" w:cs="Calibri"/>
                <w:color w:val="000000"/>
                <w:sz w:val="20"/>
              </w:rPr>
              <w:t>Sos. Vitan-Bârzesti 11</w:t>
            </w:r>
            <w:r w:rsidRPr="004335A4">
              <w:rPr>
                <w:rFonts w:eastAsiaTheme="minorHAnsi" w:cs="Calibri"/>
                <w:color w:val="000000"/>
                <w:sz w:val="20"/>
              </w:rPr>
              <w:br/>
              <w:t>042122 Bucuresti</w:t>
            </w:r>
          </w:p>
          <w:p w14:paraId="43A28BDD" w14:textId="73886979" w:rsidR="00FE34DF" w:rsidRPr="004335A4" w:rsidRDefault="00FE34DF" w:rsidP="00B75D40">
            <w:pPr>
              <w:snapToGrid w:val="0"/>
              <w:spacing w:after="0"/>
              <w:jc w:val="left"/>
              <w:rPr>
                <w:rFonts w:cs="Calibri"/>
                <w:color w:val="000000"/>
                <w:sz w:val="20"/>
                <w:lang w:val="en-GB"/>
              </w:rPr>
            </w:pPr>
            <w:r w:rsidRPr="004335A4">
              <w:rPr>
                <w:sz w:val="20"/>
              </w:rPr>
              <w:t>Romania</w:t>
            </w:r>
          </w:p>
        </w:tc>
        <w:tc>
          <w:tcPr>
            <w:tcW w:w="3052" w:type="dxa"/>
          </w:tcPr>
          <w:p w14:paraId="08BAA4C7" w14:textId="0FB23502" w:rsidR="00B83926" w:rsidRPr="004335A4" w:rsidRDefault="00B75D40" w:rsidP="00283805">
            <w:pPr>
              <w:spacing w:after="0"/>
              <w:jc w:val="left"/>
              <w:rPr>
                <w:sz w:val="20"/>
              </w:rPr>
            </w:pPr>
            <w:r w:rsidRPr="004335A4">
              <w:rPr>
                <w:sz w:val="20"/>
              </w:rPr>
              <w:t>Tel.:</w:t>
            </w:r>
            <w:r w:rsidRPr="004335A4">
              <w:rPr>
                <w:sz w:val="20"/>
                <w:lang w:val="en-GB"/>
              </w:rPr>
              <w:t xml:space="preserve"> </w:t>
            </w:r>
            <w:r w:rsidRPr="004335A4">
              <w:rPr>
                <w:sz w:val="20"/>
                <w:lang w:val="en-GB"/>
              </w:rPr>
              <w:tab/>
            </w:r>
            <w:r w:rsidR="00B83926" w:rsidRPr="004335A4">
              <w:rPr>
                <w:sz w:val="20"/>
              </w:rPr>
              <w:t>+40 21 334 5060</w:t>
            </w:r>
          </w:p>
          <w:p w14:paraId="61DD7F5E" w14:textId="098F24C7" w:rsidR="00FE34DF" w:rsidRPr="004335A4" w:rsidRDefault="00B75D40" w:rsidP="00283805">
            <w:pPr>
              <w:spacing w:after="0"/>
              <w:jc w:val="left"/>
              <w:rPr>
                <w:sz w:val="20"/>
              </w:rPr>
            </w:pPr>
            <w:r w:rsidRPr="004335A4">
              <w:rPr>
                <w:sz w:val="20"/>
              </w:rPr>
              <w:t>Email:</w:t>
            </w:r>
            <w:r w:rsidRPr="004335A4">
              <w:rPr>
                <w:sz w:val="20"/>
                <w:lang w:val="en-GB"/>
              </w:rPr>
              <w:t xml:space="preserve"> </w:t>
            </w:r>
            <w:r w:rsidRPr="004335A4">
              <w:rPr>
                <w:sz w:val="20"/>
                <w:lang w:val="en-GB"/>
              </w:rPr>
              <w:tab/>
            </w:r>
            <w:r w:rsidR="00B83926" w:rsidRPr="004335A4">
              <w:rPr>
                <w:sz w:val="20"/>
              </w:rPr>
              <w:t>dragost@inm.ro</w:t>
            </w:r>
          </w:p>
          <w:p w14:paraId="4DDC788C" w14:textId="035FFA98" w:rsidR="00FE34DF" w:rsidRPr="004335A4" w:rsidRDefault="00FE34DF" w:rsidP="00283805">
            <w:pPr>
              <w:spacing w:after="0"/>
              <w:jc w:val="left"/>
              <w:rPr>
                <w:snapToGrid w:val="0"/>
                <w:sz w:val="20"/>
                <w:lang w:val="en-GB" w:eastAsia="de-DE"/>
              </w:rPr>
            </w:pPr>
          </w:p>
        </w:tc>
      </w:tr>
      <w:tr w:rsidR="00356FBE" w:rsidRPr="004335A4" w14:paraId="342131B6" w14:textId="77777777" w:rsidTr="00B45549">
        <w:tc>
          <w:tcPr>
            <w:tcW w:w="1418" w:type="dxa"/>
          </w:tcPr>
          <w:p w14:paraId="231C8FAF" w14:textId="66A21D5F" w:rsidR="00356FBE" w:rsidRPr="004335A4" w:rsidRDefault="00356FBE" w:rsidP="00FE34DF">
            <w:pPr>
              <w:snapToGrid w:val="0"/>
              <w:spacing w:after="0"/>
              <w:jc w:val="left"/>
              <w:rPr>
                <w:rFonts w:cs="Calibri"/>
                <w:color w:val="000000"/>
                <w:sz w:val="20"/>
                <w:lang w:val="en-GB"/>
              </w:rPr>
            </w:pPr>
            <w:r w:rsidRPr="004335A4">
              <w:rPr>
                <w:rFonts w:cs="Calibri"/>
                <w:color w:val="000000"/>
                <w:sz w:val="20"/>
                <w:lang w:val="en-GB"/>
              </w:rPr>
              <w:t>LNE</w:t>
            </w:r>
          </w:p>
        </w:tc>
        <w:tc>
          <w:tcPr>
            <w:tcW w:w="4177" w:type="dxa"/>
          </w:tcPr>
          <w:p w14:paraId="146F6AAF" w14:textId="77777777" w:rsidR="00B83926" w:rsidRPr="004335A4" w:rsidRDefault="00B83926" w:rsidP="00B75D40">
            <w:pPr>
              <w:pStyle w:val="Default"/>
              <w:rPr>
                <w:b/>
                <w:bCs/>
                <w:sz w:val="20"/>
                <w:szCs w:val="20"/>
                <w:lang w:val="en-GB"/>
              </w:rPr>
            </w:pPr>
            <w:r w:rsidRPr="004335A4">
              <w:rPr>
                <w:b/>
                <w:bCs/>
                <w:sz w:val="20"/>
                <w:szCs w:val="20"/>
                <w:lang w:val="en-GB"/>
              </w:rPr>
              <w:t>José Salgado</w:t>
            </w:r>
          </w:p>
          <w:p w14:paraId="5F3828A0" w14:textId="4EA4EEC0" w:rsidR="00356FBE" w:rsidRPr="004335A4" w:rsidRDefault="00356FBE" w:rsidP="00B75D40">
            <w:pPr>
              <w:pStyle w:val="Default"/>
              <w:rPr>
                <w:sz w:val="20"/>
                <w:szCs w:val="20"/>
                <w:lang w:val="en-GB"/>
              </w:rPr>
            </w:pPr>
            <w:r w:rsidRPr="004335A4">
              <w:rPr>
                <w:sz w:val="20"/>
                <w:szCs w:val="20"/>
                <w:lang w:val="en-GB"/>
              </w:rPr>
              <w:t>Laboratoire national de métrologie et d'essais</w:t>
            </w:r>
          </w:p>
          <w:p w14:paraId="087B7332" w14:textId="53433C12" w:rsidR="00356FBE" w:rsidRPr="004335A4" w:rsidRDefault="00356FBE" w:rsidP="00B75D40">
            <w:pPr>
              <w:pStyle w:val="Default"/>
              <w:rPr>
                <w:sz w:val="20"/>
                <w:szCs w:val="20"/>
                <w:lang w:val="en-GB"/>
              </w:rPr>
            </w:pPr>
            <w:r w:rsidRPr="004335A4">
              <w:rPr>
                <w:sz w:val="20"/>
                <w:szCs w:val="20"/>
                <w:lang w:val="en-GB"/>
              </w:rPr>
              <w:t>1, rue Gaston Boissier</w:t>
            </w:r>
          </w:p>
          <w:p w14:paraId="02FEFC51" w14:textId="77777777" w:rsidR="00356FBE" w:rsidRPr="004335A4" w:rsidRDefault="00356FBE" w:rsidP="00B75D40">
            <w:pPr>
              <w:pStyle w:val="Default"/>
              <w:rPr>
                <w:sz w:val="20"/>
                <w:szCs w:val="20"/>
                <w:lang w:val="en-GB"/>
              </w:rPr>
            </w:pPr>
            <w:r w:rsidRPr="004335A4">
              <w:rPr>
                <w:sz w:val="20"/>
                <w:szCs w:val="20"/>
                <w:lang w:val="en-GB"/>
              </w:rPr>
              <w:t>75724 Paris cedex 15</w:t>
            </w:r>
          </w:p>
          <w:p w14:paraId="19C103F1" w14:textId="0B2256EB" w:rsidR="00356FBE" w:rsidRPr="004335A4" w:rsidRDefault="00356FBE" w:rsidP="00B75D40">
            <w:pPr>
              <w:pStyle w:val="Default"/>
              <w:rPr>
                <w:b/>
                <w:bCs/>
                <w:sz w:val="20"/>
                <w:szCs w:val="20"/>
                <w:lang w:val="en-GB"/>
              </w:rPr>
            </w:pPr>
            <w:r w:rsidRPr="004335A4">
              <w:rPr>
                <w:sz w:val="20"/>
                <w:szCs w:val="20"/>
                <w:lang w:val="en-GB"/>
              </w:rPr>
              <w:t>France</w:t>
            </w:r>
          </w:p>
        </w:tc>
        <w:tc>
          <w:tcPr>
            <w:tcW w:w="3052" w:type="dxa"/>
          </w:tcPr>
          <w:p w14:paraId="04486819" w14:textId="0B1E029C" w:rsidR="00356FBE" w:rsidRPr="004335A4" w:rsidRDefault="00B75D40" w:rsidP="00283805">
            <w:pPr>
              <w:spacing w:after="0"/>
              <w:jc w:val="left"/>
              <w:rPr>
                <w:sz w:val="20"/>
                <w:lang w:val="en-GB"/>
              </w:rPr>
            </w:pPr>
            <w:r w:rsidRPr="004335A4">
              <w:rPr>
                <w:sz w:val="20"/>
                <w:lang w:val="en-GB"/>
              </w:rPr>
              <w:t xml:space="preserve">Tel.: </w:t>
            </w:r>
            <w:r w:rsidRPr="004335A4">
              <w:rPr>
                <w:sz w:val="20"/>
                <w:lang w:val="en-GB"/>
              </w:rPr>
              <w:tab/>
            </w:r>
            <w:r w:rsidR="00356FBE" w:rsidRPr="004335A4">
              <w:rPr>
                <w:sz w:val="20"/>
                <w:lang w:val="en-GB"/>
              </w:rPr>
              <w:t>+33 1 40 43 37 00</w:t>
            </w:r>
          </w:p>
          <w:p w14:paraId="7E62E005" w14:textId="2D68AD1E" w:rsidR="00A370A6" w:rsidRPr="004335A4" w:rsidRDefault="00A370A6" w:rsidP="00283805">
            <w:pPr>
              <w:spacing w:after="0"/>
              <w:jc w:val="left"/>
              <w:rPr>
                <w:sz w:val="20"/>
              </w:rPr>
            </w:pPr>
            <w:r w:rsidRPr="004335A4">
              <w:rPr>
                <w:sz w:val="20"/>
              </w:rPr>
              <w:t xml:space="preserve">Fax: </w:t>
            </w:r>
            <w:r w:rsidRPr="004335A4">
              <w:rPr>
                <w:sz w:val="20"/>
                <w:lang w:val="en-GB"/>
              </w:rPr>
              <w:tab/>
            </w:r>
            <w:r w:rsidRPr="004335A4">
              <w:rPr>
                <w:sz w:val="20"/>
              </w:rPr>
              <w:t>+33 1 40 43 37 37</w:t>
            </w:r>
          </w:p>
          <w:p w14:paraId="1CC10673" w14:textId="2ACCC1C3" w:rsidR="00356FBE" w:rsidRPr="004335A4" w:rsidRDefault="00B75D40" w:rsidP="00283805">
            <w:pPr>
              <w:spacing w:after="0"/>
              <w:jc w:val="left"/>
              <w:rPr>
                <w:sz w:val="20"/>
                <w:lang w:val="en-GB"/>
              </w:rPr>
            </w:pPr>
            <w:r w:rsidRPr="004335A4">
              <w:rPr>
                <w:sz w:val="20"/>
              </w:rPr>
              <w:t>Email:</w:t>
            </w:r>
            <w:r w:rsidRPr="004335A4">
              <w:rPr>
                <w:sz w:val="20"/>
                <w:lang w:val="en-GB"/>
              </w:rPr>
              <w:t xml:space="preserve"> </w:t>
            </w:r>
            <w:r w:rsidRPr="004335A4">
              <w:rPr>
                <w:sz w:val="20"/>
                <w:lang w:val="en-GB"/>
              </w:rPr>
              <w:tab/>
            </w:r>
            <w:r w:rsidR="00B83926" w:rsidRPr="004335A4">
              <w:rPr>
                <w:sz w:val="20"/>
              </w:rPr>
              <w:t>jose.salgado@lne.fr</w:t>
            </w:r>
          </w:p>
        </w:tc>
      </w:tr>
      <w:bookmarkEnd w:id="5"/>
    </w:tbl>
    <w:p w14:paraId="4E35E3AE" w14:textId="77777777" w:rsidR="00B75D40" w:rsidRDefault="00B75D40" w:rsidP="00B75D40"/>
    <w:p w14:paraId="39C6AAE9" w14:textId="77777777" w:rsidR="00283805" w:rsidRDefault="00283805" w:rsidP="00B75D40"/>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177"/>
        <w:gridCol w:w="3052"/>
      </w:tblGrid>
      <w:tr w:rsidR="00283805" w:rsidRPr="004335A4" w14:paraId="59166E98" w14:textId="77777777" w:rsidTr="00EC050B">
        <w:tc>
          <w:tcPr>
            <w:tcW w:w="1418" w:type="dxa"/>
          </w:tcPr>
          <w:p w14:paraId="7EE03A0A" w14:textId="77777777" w:rsidR="00283805" w:rsidRPr="004335A4" w:rsidRDefault="00283805" w:rsidP="00EC050B">
            <w:pPr>
              <w:snapToGrid w:val="0"/>
              <w:spacing w:after="0"/>
              <w:jc w:val="left"/>
              <w:rPr>
                <w:rFonts w:asciiTheme="minorHAnsi" w:hAnsiTheme="minorHAnsi" w:cstheme="minorHAnsi"/>
                <w:color w:val="000000"/>
                <w:sz w:val="20"/>
                <w:lang w:val="en-GB"/>
              </w:rPr>
            </w:pPr>
            <w:r w:rsidRPr="004335A4">
              <w:rPr>
                <w:rFonts w:asciiTheme="minorHAnsi" w:hAnsiTheme="minorHAnsi" w:cstheme="minorHAnsi"/>
                <w:color w:val="000000"/>
                <w:sz w:val="20"/>
                <w:lang w:val="en-GB"/>
              </w:rPr>
              <w:lastRenderedPageBreak/>
              <w:t>PTB</w:t>
            </w:r>
          </w:p>
        </w:tc>
        <w:tc>
          <w:tcPr>
            <w:tcW w:w="4177" w:type="dxa"/>
          </w:tcPr>
          <w:p w14:paraId="7B1F925B" w14:textId="4E604ACC" w:rsidR="00283805" w:rsidRPr="004335A4" w:rsidRDefault="00283805" w:rsidP="00EC050B">
            <w:pPr>
              <w:pStyle w:val="Default"/>
              <w:rPr>
                <w:color w:val="auto"/>
                <w:sz w:val="20"/>
                <w:szCs w:val="20"/>
                <w:lang w:val="en-US"/>
              </w:rPr>
            </w:pPr>
            <w:r w:rsidRPr="004335A4">
              <w:rPr>
                <w:b/>
                <w:bCs/>
                <w:color w:val="auto"/>
                <w:sz w:val="20"/>
                <w:szCs w:val="20"/>
                <w:lang w:val="en-US"/>
              </w:rPr>
              <w:t>Michael Neugebauer</w:t>
            </w:r>
            <w:r w:rsidR="00360BFB">
              <w:rPr>
                <w:b/>
                <w:bCs/>
                <w:color w:val="auto"/>
                <w:sz w:val="20"/>
                <w:szCs w:val="20"/>
                <w:lang w:val="en-US"/>
              </w:rPr>
              <w:t>, Harald Bosse</w:t>
            </w:r>
          </w:p>
          <w:p w14:paraId="053EAFAA" w14:textId="77777777" w:rsidR="00283805" w:rsidRPr="004335A4" w:rsidRDefault="00283805" w:rsidP="00EC050B">
            <w:pPr>
              <w:pStyle w:val="Default"/>
              <w:rPr>
                <w:color w:val="auto"/>
                <w:sz w:val="20"/>
                <w:szCs w:val="20"/>
                <w:lang w:val="en-US"/>
              </w:rPr>
            </w:pPr>
            <w:r w:rsidRPr="004335A4">
              <w:rPr>
                <w:color w:val="auto"/>
                <w:sz w:val="20"/>
                <w:szCs w:val="20"/>
                <w:lang w:val="en-US"/>
              </w:rPr>
              <w:t>Physikalisch-Technische Bundesanstalt</w:t>
            </w:r>
          </w:p>
          <w:p w14:paraId="50E5B0F3" w14:textId="77777777" w:rsidR="00283805" w:rsidRPr="004335A4" w:rsidRDefault="00283805" w:rsidP="00EC050B">
            <w:pPr>
              <w:pStyle w:val="Default"/>
              <w:rPr>
                <w:color w:val="auto"/>
                <w:sz w:val="20"/>
                <w:szCs w:val="20"/>
                <w:lang w:val="en-GB"/>
              </w:rPr>
            </w:pPr>
            <w:r w:rsidRPr="004335A4">
              <w:rPr>
                <w:color w:val="auto"/>
                <w:sz w:val="20"/>
                <w:szCs w:val="20"/>
                <w:lang w:val="en-GB"/>
              </w:rPr>
              <w:t>Bundesallee 100</w:t>
            </w:r>
          </w:p>
          <w:p w14:paraId="16C229DB" w14:textId="77777777" w:rsidR="00283805" w:rsidRPr="004335A4" w:rsidRDefault="00283805" w:rsidP="00EC050B">
            <w:pPr>
              <w:pStyle w:val="Default"/>
              <w:rPr>
                <w:color w:val="auto"/>
                <w:sz w:val="20"/>
                <w:szCs w:val="20"/>
                <w:lang w:val="en-GB"/>
              </w:rPr>
            </w:pPr>
            <w:r w:rsidRPr="004335A4">
              <w:rPr>
                <w:color w:val="auto"/>
                <w:sz w:val="20"/>
                <w:szCs w:val="20"/>
                <w:lang w:val="en-GB"/>
              </w:rPr>
              <w:t>38116 Braunschweig,</w:t>
            </w:r>
          </w:p>
          <w:p w14:paraId="31CC664A" w14:textId="77777777" w:rsidR="00283805" w:rsidRPr="004335A4" w:rsidRDefault="00283805" w:rsidP="00EC050B">
            <w:pPr>
              <w:snapToGrid w:val="0"/>
              <w:spacing w:after="0"/>
              <w:jc w:val="left"/>
              <w:rPr>
                <w:rFonts w:asciiTheme="minorHAnsi" w:hAnsiTheme="minorHAnsi" w:cstheme="minorHAnsi"/>
                <w:sz w:val="20"/>
                <w:lang w:val="en-GB"/>
              </w:rPr>
            </w:pPr>
            <w:r w:rsidRPr="004335A4">
              <w:rPr>
                <w:sz w:val="20"/>
              </w:rPr>
              <w:t>Germany</w:t>
            </w:r>
          </w:p>
        </w:tc>
        <w:tc>
          <w:tcPr>
            <w:tcW w:w="3052" w:type="dxa"/>
          </w:tcPr>
          <w:p w14:paraId="097CF369" w14:textId="77777777" w:rsidR="00283805" w:rsidRPr="004335A4" w:rsidRDefault="00283805" w:rsidP="00283805">
            <w:pPr>
              <w:spacing w:after="0"/>
              <w:jc w:val="left"/>
              <w:rPr>
                <w:sz w:val="20"/>
              </w:rPr>
            </w:pPr>
            <w:r w:rsidRPr="004335A4">
              <w:rPr>
                <w:sz w:val="20"/>
              </w:rPr>
              <w:t>Tel.:</w:t>
            </w:r>
            <w:r w:rsidRPr="004335A4">
              <w:rPr>
                <w:sz w:val="20"/>
                <w:lang w:val="en-GB"/>
              </w:rPr>
              <w:t xml:space="preserve"> </w:t>
            </w:r>
            <w:r w:rsidRPr="004335A4">
              <w:rPr>
                <w:sz w:val="20"/>
                <w:lang w:val="en-GB"/>
              </w:rPr>
              <w:tab/>
            </w:r>
            <w:r w:rsidRPr="004335A4">
              <w:rPr>
                <w:sz w:val="20"/>
              </w:rPr>
              <w:t>+49 531 592 5212</w:t>
            </w:r>
          </w:p>
          <w:p w14:paraId="1992C469" w14:textId="77777777" w:rsidR="00283805" w:rsidRPr="004335A4" w:rsidRDefault="00283805" w:rsidP="00283805">
            <w:pPr>
              <w:spacing w:after="0"/>
              <w:jc w:val="left"/>
              <w:rPr>
                <w:sz w:val="20"/>
              </w:rPr>
            </w:pPr>
            <w:r w:rsidRPr="004335A4">
              <w:rPr>
                <w:sz w:val="20"/>
              </w:rPr>
              <w:t>Fax:</w:t>
            </w:r>
            <w:r w:rsidRPr="004335A4">
              <w:rPr>
                <w:sz w:val="20"/>
                <w:lang w:val="en-GB"/>
              </w:rPr>
              <w:t xml:space="preserve"> </w:t>
            </w:r>
            <w:r w:rsidRPr="004335A4">
              <w:rPr>
                <w:sz w:val="20"/>
                <w:lang w:val="en-GB"/>
              </w:rPr>
              <w:tab/>
            </w:r>
            <w:r w:rsidRPr="004335A4">
              <w:rPr>
                <w:sz w:val="20"/>
              </w:rPr>
              <w:t>+49 531 592 69 5212</w:t>
            </w:r>
          </w:p>
          <w:p w14:paraId="2E85ABA4" w14:textId="77777777" w:rsidR="00283805" w:rsidRPr="004335A4" w:rsidRDefault="00283805" w:rsidP="00283805">
            <w:pPr>
              <w:spacing w:after="0"/>
              <w:jc w:val="left"/>
              <w:rPr>
                <w:rFonts w:asciiTheme="minorHAnsi" w:hAnsiTheme="minorHAnsi" w:cstheme="minorHAnsi"/>
                <w:snapToGrid w:val="0"/>
                <w:sz w:val="20"/>
                <w:lang w:val="en-GB" w:eastAsia="de-DE"/>
              </w:rPr>
            </w:pPr>
            <w:r w:rsidRPr="004335A4">
              <w:rPr>
                <w:rFonts w:eastAsiaTheme="minorHAnsi"/>
                <w:sz w:val="20"/>
              </w:rPr>
              <w:t>Email:</w:t>
            </w:r>
            <w:r w:rsidRPr="004335A4">
              <w:rPr>
                <w:sz w:val="20"/>
                <w:lang w:val="en-GB"/>
              </w:rPr>
              <w:t xml:space="preserve"> </w:t>
            </w:r>
            <w:r w:rsidRPr="004335A4">
              <w:rPr>
                <w:sz w:val="20"/>
                <w:lang w:val="en-GB"/>
              </w:rPr>
              <w:tab/>
            </w:r>
            <w:r w:rsidRPr="00A93985">
              <w:rPr>
                <w:rFonts w:eastAsiaTheme="minorHAnsi"/>
                <w:sz w:val="18"/>
                <w:szCs w:val="18"/>
              </w:rPr>
              <w:t>michael.neugebauer@ptb.de</w:t>
            </w:r>
          </w:p>
        </w:tc>
      </w:tr>
      <w:tr w:rsidR="00283805" w:rsidRPr="004335A4" w14:paraId="6BE7F199" w14:textId="77777777" w:rsidTr="00EC050B">
        <w:tc>
          <w:tcPr>
            <w:tcW w:w="1418" w:type="dxa"/>
          </w:tcPr>
          <w:p w14:paraId="4C9DAA04" w14:textId="77777777" w:rsidR="00283805" w:rsidRPr="004335A4" w:rsidRDefault="00283805" w:rsidP="00EC050B">
            <w:pPr>
              <w:snapToGrid w:val="0"/>
              <w:spacing w:after="0"/>
              <w:jc w:val="left"/>
              <w:rPr>
                <w:rFonts w:asciiTheme="minorHAnsi" w:hAnsiTheme="minorHAnsi" w:cstheme="minorHAnsi"/>
                <w:color w:val="000000"/>
                <w:sz w:val="20"/>
                <w:lang w:val="en-GB"/>
              </w:rPr>
            </w:pPr>
            <w:r w:rsidRPr="004335A4">
              <w:rPr>
                <w:rFonts w:asciiTheme="minorHAnsi" w:hAnsiTheme="minorHAnsi" w:cstheme="minorHAnsi"/>
                <w:color w:val="000000"/>
                <w:sz w:val="20"/>
                <w:lang w:val="en-GB"/>
              </w:rPr>
              <w:t>VSL</w:t>
            </w:r>
          </w:p>
        </w:tc>
        <w:tc>
          <w:tcPr>
            <w:tcW w:w="4177" w:type="dxa"/>
          </w:tcPr>
          <w:p w14:paraId="57902B67" w14:textId="77777777" w:rsidR="00283805" w:rsidRPr="004335A4" w:rsidRDefault="00283805" w:rsidP="00EC050B">
            <w:pPr>
              <w:snapToGrid w:val="0"/>
              <w:spacing w:after="0"/>
              <w:jc w:val="left"/>
              <w:rPr>
                <w:rFonts w:asciiTheme="minorHAnsi" w:hAnsiTheme="minorHAnsi" w:cstheme="minorHAnsi"/>
                <w:b/>
                <w:bCs/>
                <w:sz w:val="20"/>
              </w:rPr>
            </w:pPr>
            <w:r w:rsidRPr="004335A4">
              <w:rPr>
                <w:rFonts w:asciiTheme="minorHAnsi" w:hAnsiTheme="minorHAnsi" w:cstheme="minorHAnsi"/>
                <w:b/>
                <w:bCs/>
                <w:sz w:val="20"/>
              </w:rPr>
              <w:t>Richard Koops</w:t>
            </w:r>
          </w:p>
          <w:p w14:paraId="50DDE0FD" w14:textId="77777777" w:rsidR="00283805" w:rsidRPr="004335A4" w:rsidRDefault="00283805" w:rsidP="00EC050B">
            <w:pPr>
              <w:snapToGrid w:val="0"/>
              <w:spacing w:after="0"/>
              <w:jc w:val="left"/>
              <w:rPr>
                <w:rFonts w:asciiTheme="minorHAnsi" w:hAnsiTheme="minorHAnsi" w:cstheme="minorHAnsi"/>
                <w:sz w:val="20"/>
              </w:rPr>
            </w:pPr>
            <w:r w:rsidRPr="004335A4">
              <w:rPr>
                <w:rFonts w:asciiTheme="minorHAnsi" w:hAnsiTheme="minorHAnsi" w:cstheme="minorHAnsi"/>
                <w:sz w:val="20"/>
              </w:rPr>
              <w:t>VSL National Metrology Institute</w:t>
            </w:r>
          </w:p>
          <w:p w14:paraId="6B0D2A31" w14:textId="77777777" w:rsidR="00283805" w:rsidRPr="004335A4" w:rsidRDefault="00283805" w:rsidP="00EC050B">
            <w:pPr>
              <w:snapToGrid w:val="0"/>
              <w:spacing w:after="0"/>
              <w:jc w:val="left"/>
              <w:rPr>
                <w:rFonts w:asciiTheme="minorHAnsi" w:hAnsiTheme="minorHAnsi" w:cstheme="minorHAnsi"/>
                <w:sz w:val="20"/>
              </w:rPr>
            </w:pPr>
            <w:r w:rsidRPr="004335A4">
              <w:rPr>
                <w:rFonts w:asciiTheme="minorHAnsi" w:hAnsiTheme="minorHAnsi" w:cstheme="minorHAnsi"/>
                <w:sz w:val="20"/>
              </w:rPr>
              <w:t>Thijsseweg 11</w:t>
            </w:r>
            <w:r w:rsidRPr="004335A4">
              <w:rPr>
                <w:rFonts w:asciiTheme="minorHAnsi" w:hAnsiTheme="minorHAnsi" w:cstheme="minorHAnsi"/>
                <w:sz w:val="20"/>
              </w:rPr>
              <w:br/>
              <w:t>2629 JA Delft</w:t>
            </w:r>
          </w:p>
          <w:p w14:paraId="7318834C" w14:textId="6A1753AB" w:rsidR="00283805" w:rsidRPr="00291D15" w:rsidRDefault="004335A4" w:rsidP="00EC050B">
            <w:pPr>
              <w:snapToGrid w:val="0"/>
              <w:spacing w:after="0"/>
              <w:jc w:val="left"/>
              <w:rPr>
                <w:rFonts w:asciiTheme="minorHAnsi" w:hAnsiTheme="minorHAnsi" w:cstheme="minorHAnsi"/>
                <w:sz w:val="20"/>
              </w:rPr>
            </w:pPr>
            <w:r w:rsidRPr="004335A4">
              <w:rPr>
                <w:rFonts w:asciiTheme="minorHAnsi" w:hAnsiTheme="minorHAnsi" w:cstheme="minorHAnsi"/>
                <w:sz w:val="20"/>
              </w:rPr>
              <w:t>Netherlands</w:t>
            </w:r>
          </w:p>
        </w:tc>
        <w:tc>
          <w:tcPr>
            <w:tcW w:w="3052" w:type="dxa"/>
          </w:tcPr>
          <w:p w14:paraId="0E71F139" w14:textId="77777777" w:rsidR="00283805" w:rsidRPr="004335A4" w:rsidRDefault="00283805" w:rsidP="00283805">
            <w:pPr>
              <w:spacing w:after="0"/>
              <w:jc w:val="left"/>
              <w:rPr>
                <w:sz w:val="20"/>
              </w:rPr>
            </w:pPr>
            <w:r w:rsidRPr="004335A4">
              <w:rPr>
                <w:sz w:val="20"/>
              </w:rPr>
              <w:t xml:space="preserve">Tel.: </w:t>
            </w:r>
            <w:r w:rsidRPr="004335A4">
              <w:rPr>
                <w:sz w:val="20"/>
                <w:lang w:val="en-GB"/>
              </w:rPr>
              <w:tab/>
            </w:r>
            <w:r w:rsidRPr="004335A4">
              <w:rPr>
                <w:sz w:val="20"/>
              </w:rPr>
              <w:t>+31 15 269 1642</w:t>
            </w:r>
          </w:p>
          <w:p w14:paraId="443FDFDD" w14:textId="77777777" w:rsidR="00283805" w:rsidRPr="004335A4" w:rsidRDefault="00283805" w:rsidP="00283805">
            <w:pPr>
              <w:spacing w:after="0"/>
              <w:jc w:val="left"/>
              <w:rPr>
                <w:sz w:val="20"/>
              </w:rPr>
            </w:pPr>
            <w:r w:rsidRPr="004335A4">
              <w:rPr>
                <w:sz w:val="20"/>
              </w:rPr>
              <w:t xml:space="preserve">Fax: </w:t>
            </w:r>
            <w:r w:rsidRPr="004335A4">
              <w:rPr>
                <w:sz w:val="20"/>
                <w:lang w:val="en-GB"/>
              </w:rPr>
              <w:tab/>
            </w:r>
            <w:r w:rsidRPr="004335A4">
              <w:rPr>
                <w:sz w:val="20"/>
              </w:rPr>
              <w:t>+31 15 2612 971</w:t>
            </w:r>
          </w:p>
          <w:p w14:paraId="617BF80D" w14:textId="77777777" w:rsidR="00283805" w:rsidRPr="004335A4" w:rsidRDefault="00283805" w:rsidP="00283805">
            <w:pPr>
              <w:spacing w:after="0"/>
              <w:jc w:val="left"/>
              <w:rPr>
                <w:rFonts w:asciiTheme="minorHAnsi" w:hAnsiTheme="minorHAnsi" w:cstheme="minorHAnsi"/>
                <w:snapToGrid w:val="0"/>
                <w:sz w:val="20"/>
                <w:lang w:val="en-GB" w:eastAsia="de-DE"/>
              </w:rPr>
            </w:pPr>
            <w:r w:rsidRPr="004335A4">
              <w:rPr>
                <w:rFonts w:asciiTheme="minorHAnsi" w:hAnsiTheme="minorHAnsi" w:cstheme="minorHAnsi"/>
                <w:snapToGrid w:val="0"/>
                <w:sz w:val="20"/>
                <w:lang w:eastAsia="de-DE"/>
              </w:rPr>
              <w:t>Email:</w:t>
            </w:r>
            <w:r w:rsidRPr="004335A4">
              <w:rPr>
                <w:sz w:val="20"/>
                <w:lang w:val="en-GB"/>
              </w:rPr>
              <w:t xml:space="preserve"> </w:t>
            </w:r>
            <w:r w:rsidRPr="004335A4">
              <w:rPr>
                <w:sz w:val="20"/>
                <w:lang w:val="en-GB"/>
              </w:rPr>
              <w:tab/>
            </w:r>
            <w:r w:rsidRPr="004335A4">
              <w:rPr>
                <w:rFonts w:asciiTheme="minorHAnsi" w:hAnsiTheme="minorHAnsi" w:cstheme="minorHAnsi"/>
                <w:snapToGrid w:val="0"/>
                <w:sz w:val="20"/>
                <w:lang w:eastAsia="de-DE"/>
              </w:rPr>
              <w:t>rkoops@vsl.nl</w:t>
            </w:r>
          </w:p>
        </w:tc>
      </w:tr>
      <w:tr w:rsidR="00283805" w:rsidRPr="004335A4" w14:paraId="42444114" w14:textId="77777777" w:rsidTr="00EC050B">
        <w:tc>
          <w:tcPr>
            <w:tcW w:w="1418" w:type="dxa"/>
          </w:tcPr>
          <w:p w14:paraId="3C2C637B" w14:textId="77777777" w:rsidR="00283805" w:rsidRPr="004335A4" w:rsidRDefault="00283805" w:rsidP="00EC050B">
            <w:pPr>
              <w:snapToGrid w:val="0"/>
              <w:spacing w:after="0"/>
              <w:jc w:val="left"/>
              <w:rPr>
                <w:rFonts w:asciiTheme="minorHAnsi" w:hAnsiTheme="minorHAnsi" w:cstheme="minorHAnsi"/>
                <w:color w:val="000000"/>
                <w:sz w:val="20"/>
                <w:lang w:val="en-GB"/>
              </w:rPr>
            </w:pPr>
            <w:r w:rsidRPr="004335A4">
              <w:rPr>
                <w:rFonts w:asciiTheme="minorHAnsi" w:hAnsiTheme="minorHAnsi" w:cstheme="minorHAnsi"/>
                <w:color w:val="000000"/>
                <w:sz w:val="20"/>
                <w:lang w:val="en-GB"/>
              </w:rPr>
              <w:t>VTT-MIKES</w:t>
            </w:r>
          </w:p>
        </w:tc>
        <w:tc>
          <w:tcPr>
            <w:tcW w:w="4177" w:type="dxa"/>
          </w:tcPr>
          <w:p w14:paraId="0DF14AEA" w14:textId="150CBE72" w:rsidR="00283805" w:rsidRPr="004335A4" w:rsidRDefault="003F092B" w:rsidP="00EC050B">
            <w:pPr>
              <w:snapToGrid w:val="0"/>
              <w:spacing w:after="0"/>
              <w:jc w:val="left"/>
              <w:rPr>
                <w:rFonts w:asciiTheme="minorHAnsi" w:hAnsiTheme="minorHAnsi" w:cstheme="minorHAnsi"/>
                <w:b/>
                <w:bCs/>
                <w:sz w:val="20"/>
              </w:rPr>
            </w:pPr>
            <w:r>
              <w:rPr>
                <w:rFonts w:asciiTheme="minorHAnsi" w:hAnsiTheme="minorHAnsi" w:cstheme="minorHAnsi"/>
                <w:b/>
                <w:bCs/>
                <w:sz w:val="20"/>
              </w:rPr>
              <w:t xml:space="preserve">Antti Lassila, </w:t>
            </w:r>
            <w:r w:rsidR="00283805" w:rsidRPr="004335A4">
              <w:rPr>
                <w:rFonts w:asciiTheme="minorHAnsi" w:hAnsiTheme="minorHAnsi" w:cstheme="minorHAnsi"/>
                <w:b/>
                <w:bCs/>
                <w:sz w:val="20"/>
              </w:rPr>
              <w:t>Bjorn Hemming</w:t>
            </w:r>
          </w:p>
          <w:p w14:paraId="7CD3B5B1" w14:textId="77777777" w:rsidR="00283805" w:rsidRPr="004335A4" w:rsidRDefault="00283805" w:rsidP="00EC050B">
            <w:pPr>
              <w:snapToGrid w:val="0"/>
              <w:spacing w:after="0"/>
              <w:jc w:val="left"/>
              <w:rPr>
                <w:rFonts w:asciiTheme="minorHAnsi" w:hAnsiTheme="minorHAnsi" w:cstheme="minorHAnsi"/>
                <w:sz w:val="20"/>
              </w:rPr>
            </w:pPr>
            <w:r w:rsidRPr="004335A4">
              <w:rPr>
                <w:rFonts w:asciiTheme="minorHAnsi" w:hAnsiTheme="minorHAnsi" w:cstheme="minorHAnsi"/>
                <w:sz w:val="20"/>
              </w:rPr>
              <w:t>VTT Technical Research Centre of Finland Ltd, Centre for Metrology MIKES</w:t>
            </w:r>
          </w:p>
          <w:p w14:paraId="60EE3A77" w14:textId="77777777" w:rsidR="00283805" w:rsidRPr="004335A4" w:rsidRDefault="00283805" w:rsidP="00EC050B">
            <w:pPr>
              <w:snapToGrid w:val="0"/>
              <w:spacing w:after="0"/>
              <w:jc w:val="left"/>
              <w:rPr>
                <w:rFonts w:asciiTheme="minorHAnsi" w:hAnsiTheme="minorHAnsi" w:cstheme="minorHAnsi"/>
                <w:sz w:val="20"/>
                <w:lang w:val="en-GB"/>
              </w:rPr>
            </w:pPr>
            <w:r w:rsidRPr="004335A4">
              <w:rPr>
                <w:rFonts w:asciiTheme="minorHAnsi" w:hAnsiTheme="minorHAnsi" w:cstheme="minorHAnsi"/>
                <w:sz w:val="20"/>
              </w:rPr>
              <w:t>Tekniikantie 1</w:t>
            </w:r>
            <w:r w:rsidRPr="004335A4">
              <w:rPr>
                <w:rFonts w:asciiTheme="minorHAnsi" w:hAnsiTheme="minorHAnsi" w:cstheme="minorHAnsi"/>
                <w:sz w:val="20"/>
              </w:rPr>
              <w:br/>
              <w:t>02150 Espoo</w:t>
            </w:r>
            <w:r w:rsidRPr="004335A4">
              <w:rPr>
                <w:rFonts w:asciiTheme="minorHAnsi" w:hAnsiTheme="minorHAnsi" w:cstheme="minorHAnsi"/>
                <w:sz w:val="20"/>
              </w:rPr>
              <w:br/>
              <w:t>Finland</w:t>
            </w:r>
          </w:p>
        </w:tc>
        <w:tc>
          <w:tcPr>
            <w:tcW w:w="3052" w:type="dxa"/>
          </w:tcPr>
          <w:p w14:paraId="2E45C81D" w14:textId="77777777" w:rsidR="00283805" w:rsidRPr="004335A4" w:rsidRDefault="00283805" w:rsidP="00283805">
            <w:pPr>
              <w:spacing w:after="0"/>
              <w:jc w:val="left"/>
              <w:rPr>
                <w:rFonts w:asciiTheme="minorHAnsi" w:hAnsiTheme="minorHAnsi" w:cstheme="minorHAnsi"/>
                <w:snapToGrid w:val="0"/>
                <w:sz w:val="20"/>
                <w:lang w:eastAsia="de-DE"/>
              </w:rPr>
            </w:pPr>
            <w:r w:rsidRPr="004335A4">
              <w:rPr>
                <w:rFonts w:asciiTheme="minorHAnsi" w:hAnsiTheme="minorHAnsi" w:cstheme="minorHAnsi"/>
                <w:snapToGrid w:val="0"/>
                <w:sz w:val="20"/>
                <w:lang w:eastAsia="de-DE"/>
              </w:rPr>
              <w:t xml:space="preserve">Tel.: </w:t>
            </w:r>
            <w:r w:rsidRPr="004335A4">
              <w:rPr>
                <w:sz w:val="20"/>
                <w:lang w:val="en-GB"/>
              </w:rPr>
              <w:tab/>
            </w:r>
            <w:r w:rsidRPr="004335A4">
              <w:rPr>
                <w:rFonts w:asciiTheme="minorHAnsi" w:hAnsiTheme="minorHAnsi" w:cstheme="minorHAnsi"/>
                <w:snapToGrid w:val="0"/>
                <w:sz w:val="20"/>
                <w:lang w:eastAsia="de-DE"/>
              </w:rPr>
              <w:t>+358 40 7678584</w:t>
            </w:r>
          </w:p>
          <w:p w14:paraId="461AD50E" w14:textId="77777777" w:rsidR="00283805" w:rsidRPr="004335A4" w:rsidRDefault="00283805" w:rsidP="00283805">
            <w:pPr>
              <w:spacing w:after="0"/>
              <w:jc w:val="left"/>
              <w:rPr>
                <w:sz w:val="20"/>
              </w:rPr>
            </w:pPr>
            <w:r w:rsidRPr="004335A4">
              <w:rPr>
                <w:sz w:val="20"/>
              </w:rPr>
              <w:t xml:space="preserve">Fax: </w:t>
            </w:r>
            <w:r w:rsidRPr="004335A4">
              <w:rPr>
                <w:sz w:val="20"/>
                <w:lang w:val="en-GB"/>
              </w:rPr>
              <w:tab/>
              <w:t>+</w:t>
            </w:r>
            <w:r w:rsidRPr="004335A4">
              <w:rPr>
                <w:sz w:val="20"/>
              </w:rPr>
              <w:t>358 20 722 7001</w:t>
            </w:r>
          </w:p>
          <w:p w14:paraId="0E6C4FBB" w14:textId="77777777" w:rsidR="00283805" w:rsidRPr="004335A4" w:rsidRDefault="00283805" w:rsidP="00283805">
            <w:pPr>
              <w:spacing w:after="0"/>
              <w:jc w:val="left"/>
              <w:rPr>
                <w:sz w:val="20"/>
              </w:rPr>
            </w:pPr>
            <w:r w:rsidRPr="004335A4">
              <w:rPr>
                <w:sz w:val="20"/>
              </w:rPr>
              <w:t xml:space="preserve">Email: </w:t>
            </w:r>
            <w:r w:rsidRPr="004335A4">
              <w:rPr>
                <w:sz w:val="20"/>
                <w:lang w:val="en-GB"/>
              </w:rPr>
              <w:tab/>
            </w:r>
            <w:r w:rsidRPr="004335A4">
              <w:rPr>
                <w:sz w:val="20"/>
              </w:rPr>
              <w:t>bjorn.hemming@vtt.fi</w:t>
            </w:r>
          </w:p>
          <w:p w14:paraId="6C3B8402" w14:textId="77777777" w:rsidR="00283805" w:rsidRPr="004335A4" w:rsidRDefault="00283805" w:rsidP="00283805">
            <w:pPr>
              <w:spacing w:after="0"/>
              <w:jc w:val="left"/>
              <w:rPr>
                <w:rFonts w:asciiTheme="minorHAnsi" w:hAnsiTheme="minorHAnsi" w:cstheme="minorHAnsi"/>
                <w:snapToGrid w:val="0"/>
                <w:sz w:val="20"/>
                <w:lang w:eastAsia="de-DE"/>
              </w:rPr>
            </w:pPr>
          </w:p>
        </w:tc>
      </w:tr>
    </w:tbl>
    <w:p w14:paraId="7FE6EA16" w14:textId="77777777" w:rsidR="00283805" w:rsidRDefault="00283805" w:rsidP="00B75D40"/>
    <w:p w14:paraId="58A8224A" w14:textId="77777777" w:rsidR="00283805" w:rsidRDefault="00283805" w:rsidP="00B75D40"/>
    <w:p w14:paraId="5A93244F" w14:textId="266A5504" w:rsidR="003C07A8" w:rsidRPr="00190198" w:rsidRDefault="003C07A8" w:rsidP="00C8571C">
      <w:pPr>
        <w:pStyle w:val="Nagwek1"/>
        <w:numPr>
          <w:ilvl w:val="1"/>
          <w:numId w:val="6"/>
        </w:numPr>
        <w:ind w:left="357" w:hanging="357"/>
        <w:rPr>
          <w:sz w:val="22"/>
          <w:szCs w:val="22"/>
        </w:rPr>
      </w:pPr>
      <w:bookmarkStart w:id="6" w:name="_Toc188960915"/>
      <w:r w:rsidRPr="00190198">
        <w:rPr>
          <w:sz w:val="22"/>
          <w:szCs w:val="22"/>
        </w:rPr>
        <w:t>Schedule</w:t>
      </w:r>
      <w:bookmarkEnd w:id="6"/>
    </w:p>
    <w:p w14:paraId="3B3F3454" w14:textId="43A77442" w:rsidR="001214CA" w:rsidRPr="0041036F" w:rsidRDefault="007E2ED5" w:rsidP="00D318EF">
      <w:pPr>
        <w:rPr>
          <w:lang w:val="en-GB"/>
        </w:rPr>
      </w:pPr>
      <w:r w:rsidRPr="0041036F">
        <w:rPr>
          <w:lang w:val="en-GB"/>
        </w:rPr>
        <w:t>E</w:t>
      </w:r>
      <w:r w:rsidR="00360BFB">
        <w:rPr>
          <w:lang w:val="en-GB"/>
        </w:rPr>
        <w:t>ach</w:t>
      </w:r>
      <w:r w:rsidRPr="0041036F">
        <w:rPr>
          <w:lang w:val="en-GB"/>
        </w:rPr>
        <w:t xml:space="preserve"> </w:t>
      </w:r>
      <w:r w:rsidR="001214CA" w:rsidRPr="0041036F">
        <w:rPr>
          <w:lang w:val="en-GB"/>
        </w:rPr>
        <w:t>laboratory has one month for calibration</w:t>
      </w:r>
      <w:r w:rsidRPr="0041036F">
        <w:rPr>
          <w:lang w:val="en-GB"/>
        </w:rPr>
        <w:t>,</w:t>
      </w:r>
      <w:r w:rsidR="001214CA" w:rsidRPr="0041036F">
        <w:rPr>
          <w:lang w:val="en-GB"/>
        </w:rPr>
        <w:t xml:space="preserve"> including transportation. With its confirmation to participate, each laboratory has confirmed that it is capable of performing the measurements in the limited allocated </w:t>
      </w:r>
      <w:r w:rsidR="00360BFB">
        <w:rPr>
          <w:lang w:val="en-GB"/>
        </w:rPr>
        <w:t>time</w:t>
      </w:r>
      <w:r w:rsidR="001214CA" w:rsidRPr="0041036F">
        <w:rPr>
          <w:lang w:val="en-GB"/>
        </w:rPr>
        <w:t>. It guarantees, that the standards arrive in the country of the next participant at the beginning of the next month. If for some reasons, the measurement facility is not ready or customs clearance takes too much time in a country, the laboratory has to contact the pilot laboratory immediately.</w:t>
      </w:r>
    </w:p>
    <w:p w14:paraId="6645F6E2" w14:textId="5EA9832E" w:rsidR="001214CA" w:rsidRPr="00190198" w:rsidRDefault="001214CA" w:rsidP="001214CA">
      <w:pPr>
        <w:pStyle w:val="Legenda"/>
        <w:keepNext/>
        <w:jc w:val="left"/>
        <w:rPr>
          <w:sz w:val="22"/>
          <w:szCs w:val="22"/>
          <w:lang w:val="en-GB"/>
        </w:rPr>
      </w:pPr>
      <w:r w:rsidRPr="00190198">
        <w:rPr>
          <w:sz w:val="22"/>
          <w:szCs w:val="22"/>
          <w:lang w:val="en-GB"/>
        </w:rPr>
        <w:t xml:space="preserve">Table </w:t>
      </w:r>
      <w:r w:rsidRPr="00987C06">
        <w:rPr>
          <w:sz w:val="22"/>
          <w:szCs w:val="22"/>
          <w:lang w:val="en-GB"/>
        </w:rPr>
        <w:fldChar w:fldCharType="begin"/>
      </w:r>
      <w:r w:rsidRPr="00190198">
        <w:rPr>
          <w:sz w:val="22"/>
          <w:szCs w:val="22"/>
          <w:lang w:val="en-GB"/>
        </w:rPr>
        <w:instrText xml:space="preserve"> SEQ Table \* ARABIC </w:instrText>
      </w:r>
      <w:r w:rsidRPr="00987C06">
        <w:rPr>
          <w:sz w:val="22"/>
          <w:szCs w:val="22"/>
          <w:lang w:val="en-GB"/>
        </w:rPr>
        <w:fldChar w:fldCharType="separate"/>
      </w:r>
      <w:r w:rsidRPr="00190198">
        <w:rPr>
          <w:noProof/>
          <w:sz w:val="22"/>
          <w:szCs w:val="22"/>
          <w:lang w:val="en-GB"/>
        </w:rPr>
        <w:t>2</w:t>
      </w:r>
      <w:r w:rsidRPr="00987C06">
        <w:rPr>
          <w:sz w:val="22"/>
          <w:szCs w:val="22"/>
          <w:lang w:val="en-GB"/>
        </w:rPr>
        <w:fldChar w:fldCharType="end"/>
      </w:r>
      <w:r w:rsidRPr="00190198">
        <w:rPr>
          <w:sz w:val="22"/>
          <w:szCs w:val="22"/>
          <w:lang w:val="en-GB"/>
        </w:rPr>
        <w:t xml:space="preserve">. </w:t>
      </w:r>
      <w:r w:rsidRPr="00190198">
        <w:rPr>
          <w:b w:val="0"/>
          <w:bCs w:val="0"/>
          <w:sz w:val="22"/>
          <w:szCs w:val="22"/>
          <w:lang w:val="en-GB"/>
        </w:rPr>
        <w:t>Schedule of the comparison.</w:t>
      </w:r>
    </w:p>
    <w:tbl>
      <w:tblPr>
        <w:tblStyle w:val="Tabela-Siatka"/>
        <w:tblW w:w="0" w:type="auto"/>
        <w:tblLook w:val="04A0" w:firstRow="1" w:lastRow="0" w:firstColumn="1" w:lastColumn="0" w:noHBand="0" w:noVBand="1"/>
      </w:tblPr>
      <w:tblGrid>
        <w:gridCol w:w="1601"/>
        <w:gridCol w:w="1867"/>
        <w:gridCol w:w="1772"/>
        <w:gridCol w:w="3822"/>
      </w:tblGrid>
      <w:tr w:rsidR="00E01ACB" w:rsidRPr="00190198" w14:paraId="77743DE7" w14:textId="77777777" w:rsidTr="00E25769">
        <w:tc>
          <w:tcPr>
            <w:tcW w:w="1601" w:type="dxa"/>
          </w:tcPr>
          <w:p w14:paraId="680A4C53" w14:textId="0A0F31BE" w:rsidR="00E01ACB" w:rsidRPr="00190198" w:rsidRDefault="00E01ACB" w:rsidP="00E01ACB">
            <w:pPr>
              <w:jc w:val="left"/>
              <w:rPr>
                <w:sz w:val="18"/>
                <w:szCs w:val="18"/>
                <w:lang w:val="en-GB"/>
              </w:rPr>
            </w:pPr>
            <w:r>
              <w:rPr>
                <w:b/>
                <w:bCs/>
                <w:szCs w:val="22"/>
              </w:rPr>
              <w:t xml:space="preserve">Laboratory </w:t>
            </w:r>
          </w:p>
        </w:tc>
        <w:tc>
          <w:tcPr>
            <w:tcW w:w="1867" w:type="dxa"/>
          </w:tcPr>
          <w:p w14:paraId="5C78BB4E" w14:textId="03F3EF2A" w:rsidR="00E01ACB" w:rsidRPr="00190198" w:rsidRDefault="00E01ACB" w:rsidP="00E01ACB">
            <w:pPr>
              <w:jc w:val="left"/>
              <w:rPr>
                <w:sz w:val="18"/>
                <w:szCs w:val="18"/>
                <w:lang w:val="en-GB"/>
              </w:rPr>
            </w:pPr>
            <w:r>
              <w:rPr>
                <w:b/>
                <w:bCs/>
                <w:szCs w:val="22"/>
              </w:rPr>
              <w:t xml:space="preserve">Country </w:t>
            </w:r>
          </w:p>
        </w:tc>
        <w:tc>
          <w:tcPr>
            <w:tcW w:w="1772" w:type="dxa"/>
          </w:tcPr>
          <w:p w14:paraId="1EB6920E" w14:textId="402AC705" w:rsidR="00E01ACB" w:rsidRPr="00190198" w:rsidRDefault="00E01ACB" w:rsidP="00E01ACB">
            <w:pPr>
              <w:jc w:val="left"/>
              <w:rPr>
                <w:sz w:val="18"/>
                <w:szCs w:val="18"/>
                <w:lang w:val="en-GB"/>
              </w:rPr>
            </w:pPr>
            <w:r>
              <w:rPr>
                <w:b/>
                <w:bCs/>
                <w:szCs w:val="22"/>
              </w:rPr>
              <w:t xml:space="preserve">RMO </w:t>
            </w:r>
          </w:p>
        </w:tc>
        <w:tc>
          <w:tcPr>
            <w:tcW w:w="3822" w:type="dxa"/>
          </w:tcPr>
          <w:p w14:paraId="5D0DDA15" w14:textId="4421DD76" w:rsidR="00E01ACB" w:rsidRPr="00190198" w:rsidRDefault="00E01ACB" w:rsidP="00E01ACB">
            <w:pPr>
              <w:jc w:val="left"/>
              <w:rPr>
                <w:sz w:val="18"/>
                <w:szCs w:val="18"/>
                <w:lang w:val="en-GB"/>
              </w:rPr>
            </w:pPr>
            <w:r>
              <w:rPr>
                <w:b/>
                <w:bCs/>
                <w:szCs w:val="22"/>
              </w:rPr>
              <w:t xml:space="preserve">Starting date of measurement </w:t>
            </w:r>
          </w:p>
        </w:tc>
      </w:tr>
      <w:tr w:rsidR="00494A05" w:rsidRPr="00190198" w14:paraId="36E90BEC" w14:textId="77777777" w:rsidTr="00E25769">
        <w:tc>
          <w:tcPr>
            <w:tcW w:w="1601" w:type="dxa"/>
          </w:tcPr>
          <w:p w14:paraId="5F7DD2FD" w14:textId="0E35FB58" w:rsidR="00494A05" w:rsidRPr="00FD613F" w:rsidRDefault="00E01ACB" w:rsidP="00494A05">
            <w:pPr>
              <w:jc w:val="left"/>
              <w:rPr>
                <w:sz w:val="18"/>
                <w:szCs w:val="18"/>
                <w:lang w:val="en-GB"/>
              </w:rPr>
            </w:pPr>
            <w:r>
              <w:rPr>
                <w:sz w:val="18"/>
                <w:szCs w:val="18"/>
                <w:lang w:val="en-GB"/>
              </w:rPr>
              <w:t>GUM (Pilot)</w:t>
            </w:r>
          </w:p>
        </w:tc>
        <w:tc>
          <w:tcPr>
            <w:tcW w:w="1867" w:type="dxa"/>
          </w:tcPr>
          <w:p w14:paraId="38892A8F" w14:textId="5A365AEA" w:rsidR="00494A05" w:rsidRPr="00FD613F" w:rsidRDefault="00E01ACB" w:rsidP="00494A05">
            <w:pPr>
              <w:jc w:val="left"/>
              <w:rPr>
                <w:sz w:val="18"/>
                <w:szCs w:val="18"/>
                <w:lang w:val="en-GB"/>
              </w:rPr>
            </w:pPr>
            <w:r>
              <w:rPr>
                <w:sz w:val="18"/>
                <w:szCs w:val="18"/>
                <w:lang w:val="en-GB"/>
              </w:rPr>
              <w:t>Poland</w:t>
            </w:r>
          </w:p>
        </w:tc>
        <w:tc>
          <w:tcPr>
            <w:tcW w:w="1772" w:type="dxa"/>
          </w:tcPr>
          <w:p w14:paraId="013276FC" w14:textId="22D8E466" w:rsidR="00494A05" w:rsidRPr="00FD613F" w:rsidRDefault="00E01ACB" w:rsidP="00494A05">
            <w:pPr>
              <w:jc w:val="left"/>
              <w:rPr>
                <w:sz w:val="18"/>
                <w:szCs w:val="18"/>
                <w:lang w:val="en-GB"/>
              </w:rPr>
            </w:pPr>
            <w:r>
              <w:rPr>
                <w:sz w:val="18"/>
                <w:szCs w:val="18"/>
                <w:lang w:val="en-GB"/>
              </w:rPr>
              <w:t>E</w:t>
            </w:r>
            <w:r w:rsidR="00360BFB">
              <w:rPr>
                <w:sz w:val="18"/>
                <w:szCs w:val="18"/>
                <w:lang w:val="en-GB"/>
              </w:rPr>
              <w:t>URAMET</w:t>
            </w:r>
          </w:p>
        </w:tc>
        <w:tc>
          <w:tcPr>
            <w:tcW w:w="3822" w:type="dxa"/>
          </w:tcPr>
          <w:p w14:paraId="080B5C85" w14:textId="2A5084C6" w:rsidR="00494A05" w:rsidRPr="00FD613F" w:rsidRDefault="00782C85" w:rsidP="00494A05">
            <w:pPr>
              <w:jc w:val="left"/>
              <w:rPr>
                <w:sz w:val="18"/>
                <w:szCs w:val="18"/>
                <w:lang w:val="en-GB"/>
              </w:rPr>
            </w:pPr>
            <w:r>
              <w:rPr>
                <w:sz w:val="18"/>
                <w:szCs w:val="18"/>
                <w:lang w:val="en-GB"/>
              </w:rPr>
              <w:t>February</w:t>
            </w:r>
            <w:r w:rsidR="00C51041">
              <w:rPr>
                <w:sz w:val="18"/>
                <w:szCs w:val="18"/>
                <w:lang w:val="en-GB"/>
              </w:rPr>
              <w:t xml:space="preserve"> 2025</w:t>
            </w:r>
          </w:p>
        </w:tc>
      </w:tr>
      <w:tr w:rsidR="00360BFB" w:rsidRPr="00190198" w14:paraId="58A091B6" w14:textId="77777777" w:rsidTr="00E25769">
        <w:tc>
          <w:tcPr>
            <w:tcW w:w="1601" w:type="dxa"/>
          </w:tcPr>
          <w:p w14:paraId="7F9B4D6A" w14:textId="733CDAEB" w:rsidR="00360BFB" w:rsidRDefault="00360BFB" w:rsidP="00360BFB">
            <w:pPr>
              <w:jc w:val="left"/>
              <w:rPr>
                <w:sz w:val="18"/>
                <w:szCs w:val="18"/>
                <w:lang w:val="en-GB"/>
              </w:rPr>
            </w:pPr>
            <w:r>
              <w:rPr>
                <w:sz w:val="18"/>
                <w:szCs w:val="18"/>
                <w:lang w:val="en-GB"/>
              </w:rPr>
              <w:t>VSL</w:t>
            </w:r>
          </w:p>
        </w:tc>
        <w:tc>
          <w:tcPr>
            <w:tcW w:w="1867" w:type="dxa"/>
          </w:tcPr>
          <w:p w14:paraId="03F5DFFC" w14:textId="14CC6A04" w:rsidR="00360BFB" w:rsidRDefault="00292FD1" w:rsidP="00360BFB">
            <w:pPr>
              <w:jc w:val="left"/>
              <w:rPr>
                <w:sz w:val="18"/>
                <w:szCs w:val="18"/>
                <w:lang w:val="en-GB"/>
              </w:rPr>
            </w:pPr>
            <w:r w:rsidRPr="00292FD1">
              <w:rPr>
                <w:sz w:val="18"/>
                <w:szCs w:val="18"/>
                <w:lang w:val="en-GB"/>
              </w:rPr>
              <w:t>Netherlands</w:t>
            </w:r>
          </w:p>
        </w:tc>
        <w:tc>
          <w:tcPr>
            <w:tcW w:w="1772" w:type="dxa"/>
          </w:tcPr>
          <w:p w14:paraId="0A9E7F6C" w14:textId="4CD05CA2" w:rsidR="00360BFB" w:rsidRDefault="00360BFB" w:rsidP="00360BFB">
            <w:pPr>
              <w:jc w:val="left"/>
              <w:rPr>
                <w:sz w:val="18"/>
                <w:szCs w:val="18"/>
                <w:lang w:val="en-GB"/>
              </w:rPr>
            </w:pPr>
            <w:r w:rsidRPr="00E93D5A">
              <w:rPr>
                <w:sz w:val="18"/>
                <w:szCs w:val="18"/>
                <w:lang w:val="en-GB"/>
              </w:rPr>
              <w:t>EURAMET</w:t>
            </w:r>
          </w:p>
        </w:tc>
        <w:tc>
          <w:tcPr>
            <w:tcW w:w="3822" w:type="dxa"/>
          </w:tcPr>
          <w:p w14:paraId="7D8B0089" w14:textId="3A811425" w:rsidR="00360BFB" w:rsidRDefault="00360BFB" w:rsidP="00360BFB">
            <w:pPr>
              <w:jc w:val="left"/>
              <w:rPr>
                <w:sz w:val="18"/>
                <w:szCs w:val="18"/>
                <w:lang w:val="en-GB"/>
              </w:rPr>
            </w:pPr>
            <w:r>
              <w:rPr>
                <w:sz w:val="18"/>
                <w:szCs w:val="18"/>
                <w:lang w:val="en-GB"/>
              </w:rPr>
              <w:t>March 2025</w:t>
            </w:r>
          </w:p>
        </w:tc>
      </w:tr>
      <w:tr w:rsidR="00360BFB" w:rsidRPr="00190198" w14:paraId="7B0C917C" w14:textId="77777777" w:rsidTr="00E25769">
        <w:tc>
          <w:tcPr>
            <w:tcW w:w="1601" w:type="dxa"/>
          </w:tcPr>
          <w:p w14:paraId="6B06028C" w14:textId="3F988A7A" w:rsidR="00360BFB" w:rsidRDefault="00360BFB" w:rsidP="00360BFB">
            <w:pPr>
              <w:jc w:val="left"/>
              <w:rPr>
                <w:sz w:val="18"/>
                <w:szCs w:val="18"/>
                <w:lang w:val="en-GB"/>
              </w:rPr>
            </w:pPr>
            <w:r>
              <w:rPr>
                <w:sz w:val="18"/>
                <w:szCs w:val="18"/>
                <w:lang w:val="en-GB"/>
              </w:rPr>
              <w:t>MIKES</w:t>
            </w:r>
          </w:p>
        </w:tc>
        <w:tc>
          <w:tcPr>
            <w:tcW w:w="1867" w:type="dxa"/>
          </w:tcPr>
          <w:p w14:paraId="609CA09B" w14:textId="5A054069" w:rsidR="00360BFB" w:rsidRDefault="00360BFB" w:rsidP="00360BFB">
            <w:pPr>
              <w:jc w:val="left"/>
              <w:rPr>
                <w:sz w:val="18"/>
                <w:szCs w:val="18"/>
                <w:lang w:val="en-GB"/>
              </w:rPr>
            </w:pPr>
            <w:r>
              <w:rPr>
                <w:sz w:val="18"/>
                <w:szCs w:val="18"/>
                <w:lang w:val="en-GB"/>
              </w:rPr>
              <w:t>Finland</w:t>
            </w:r>
          </w:p>
        </w:tc>
        <w:tc>
          <w:tcPr>
            <w:tcW w:w="1772" w:type="dxa"/>
          </w:tcPr>
          <w:p w14:paraId="73CA3BF0" w14:textId="402AA805" w:rsidR="00360BFB" w:rsidRPr="007E722C" w:rsidRDefault="00360BFB" w:rsidP="00360BFB">
            <w:pPr>
              <w:jc w:val="left"/>
              <w:rPr>
                <w:sz w:val="18"/>
                <w:szCs w:val="18"/>
                <w:lang w:val="en-GB"/>
              </w:rPr>
            </w:pPr>
            <w:r w:rsidRPr="00E93D5A">
              <w:rPr>
                <w:sz w:val="18"/>
                <w:szCs w:val="18"/>
                <w:lang w:val="en-GB"/>
              </w:rPr>
              <w:t>EURAMET</w:t>
            </w:r>
          </w:p>
        </w:tc>
        <w:tc>
          <w:tcPr>
            <w:tcW w:w="3822" w:type="dxa"/>
          </w:tcPr>
          <w:p w14:paraId="306A5A07" w14:textId="7EEDBE89" w:rsidR="00360BFB" w:rsidRDefault="00360BFB" w:rsidP="00360BFB">
            <w:pPr>
              <w:jc w:val="left"/>
              <w:rPr>
                <w:sz w:val="18"/>
                <w:szCs w:val="18"/>
                <w:lang w:val="en-GB"/>
              </w:rPr>
            </w:pPr>
            <w:r>
              <w:rPr>
                <w:sz w:val="18"/>
                <w:szCs w:val="18"/>
                <w:lang w:val="en-GB"/>
              </w:rPr>
              <w:t>April 2025</w:t>
            </w:r>
          </w:p>
        </w:tc>
      </w:tr>
      <w:tr w:rsidR="00360BFB" w:rsidRPr="00190198" w14:paraId="2BB58247" w14:textId="77777777" w:rsidTr="00E25769">
        <w:tc>
          <w:tcPr>
            <w:tcW w:w="1601" w:type="dxa"/>
          </w:tcPr>
          <w:p w14:paraId="1285833C" w14:textId="3D37DBED" w:rsidR="00360BFB" w:rsidRPr="00FD613F" w:rsidRDefault="00360BFB" w:rsidP="00360BFB">
            <w:pPr>
              <w:jc w:val="left"/>
              <w:rPr>
                <w:sz w:val="18"/>
                <w:szCs w:val="18"/>
                <w:lang w:val="en-GB"/>
              </w:rPr>
            </w:pPr>
            <w:r>
              <w:rPr>
                <w:sz w:val="18"/>
                <w:szCs w:val="18"/>
                <w:lang w:val="en-GB"/>
              </w:rPr>
              <w:t>PTB</w:t>
            </w:r>
          </w:p>
        </w:tc>
        <w:tc>
          <w:tcPr>
            <w:tcW w:w="1867" w:type="dxa"/>
          </w:tcPr>
          <w:p w14:paraId="257B2528" w14:textId="30628DE1" w:rsidR="00360BFB" w:rsidRPr="00FD613F" w:rsidRDefault="00360BFB" w:rsidP="00360BFB">
            <w:pPr>
              <w:jc w:val="left"/>
              <w:rPr>
                <w:sz w:val="18"/>
                <w:szCs w:val="18"/>
                <w:lang w:val="en-GB"/>
              </w:rPr>
            </w:pPr>
            <w:r>
              <w:rPr>
                <w:sz w:val="18"/>
                <w:szCs w:val="18"/>
                <w:lang w:val="en-GB"/>
              </w:rPr>
              <w:t>Germany</w:t>
            </w:r>
          </w:p>
        </w:tc>
        <w:tc>
          <w:tcPr>
            <w:tcW w:w="1772" w:type="dxa"/>
          </w:tcPr>
          <w:p w14:paraId="004D252F" w14:textId="29419380" w:rsidR="00360BFB" w:rsidRPr="00FD613F" w:rsidRDefault="00360BFB" w:rsidP="00360BFB">
            <w:pPr>
              <w:jc w:val="left"/>
              <w:rPr>
                <w:sz w:val="18"/>
                <w:szCs w:val="18"/>
                <w:lang w:val="en-GB"/>
              </w:rPr>
            </w:pPr>
            <w:r w:rsidRPr="00E93D5A">
              <w:rPr>
                <w:sz w:val="18"/>
                <w:szCs w:val="18"/>
                <w:lang w:val="en-GB"/>
              </w:rPr>
              <w:t>EURAMET</w:t>
            </w:r>
          </w:p>
        </w:tc>
        <w:tc>
          <w:tcPr>
            <w:tcW w:w="3822" w:type="dxa"/>
          </w:tcPr>
          <w:p w14:paraId="2A9831A6" w14:textId="4CFCBD94" w:rsidR="00360BFB" w:rsidRPr="00FD613F" w:rsidRDefault="00360BFB" w:rsidP="00360BFB">
            <w:pPr>
              <w:jc w:val="left"/>
              <w:rPr>
                <w:sz w:val="18"/>
                <w:szCs w:val="18"/>
                <w:lang w:val="en-GB"/>
              </w:rPr>
            </w:pPr>
            <w:r>
              <w:rPr>
                <w:sz w:val="18"/>
                <w:szCs w:val="18"/>
                <w:lang w:val="en-GB"/>
              </w:rPr>
              <w:t>May 2025</w:t>
            </w:r>
          </w:p>
        </w:tc>
      </w:tr>
      <w:tr w:rsidR="00360BFB" w:rsidRPr="00190198" w14:paraId="126CFEDB" w14:textId="77777777" w:rsidTr="00E25769">
        <w:tc>
          <w:tcPr>
            <w:tcW w:w="1601" w:type="dxa"/>
          </w:tcPr>
          <w:p w14:paraId="03F77509" w14:textId="61513B54" w:rsidR="00360BFB" w:rsidRPr="00FD613F" w:rsidRDefault="00360BFB" w:rsidP="00360BFB">
            <w:pPr>
              <w:jc w:val="left"/>
              <w:rPr>
                <w:sz w:val="18"/>
                <w:szCs w:val="18"/>
                <w:lang w:val="en-GB"/>
              </w:rPr>
            </w:pPr>
            <w:r>
              <w:rPr>
                <w:sz w:val="18"/>
                <w:szCs w:val="18"/>
                <w:lang w:val="en-GB"/>
              </w:rPr>
              <w:t>FSB</w:t>
            </w:r>
          </w:p>
        </w:tc>
        <w:tc>
          <w:tcPr>
            <w:tcW w:w="1867" w:type="dxa"/>
          </w:tcPr>
          <w:p w14:paraId="6D539EE7" w14:textId="045DE581" w:rsidR="00360BFB" w:rsidRPr="00FD613F" w:rsidRDefault="00360BFB" w:rsidP="00360BFB">
            <w:pPr>
              <w:jc w:val="left"/>
              <w:rPr>
                <w:sz w:val="18"/>
                <w:szCs w:val="18"/>
                <w:lang w:val="en-GB"/>
              </w:rPr>
            </w:pPr>
            <w:r>
              <w:rPr>
                <w:sz w:val="18"/>
                <w:szCs w:val="18"/>
                <w:lang w:val="en-GB"/>
              </w:rPr>
              <w:t>Croatia</w:t>
            </w:r>
          </w:p>
        </w:tc>
        <w:tc>
          <w:tcPr>
            <w:tcW w:w="1772" w:type="dxa"/>
          </w:tcPr>
          <w:p w14:paraId="3C03FE34" w14:textId="3085FE93" w:rsidR="00360BFB" w:rsidRPr="00FD613F" w:rsidRDefault="00360BFB" w:rsidP="00360BFB">
            <w:pPr>
              <w:jc w:val="left"/>
              <w:rPr>
                <w:sz w:val="18"/>
                <w:szCs w:val="18"/>
                <w:lang w:val="en-GB"/>
              </w:rPr>
            </w:pPr>
            <w:r w:rsidRPr="00E93D5A">
              <w:rPr>
                <w:sz w:val="18"/>
                <w:szCs w:val="18"/>
                <w:lang w:val="en-GB"/>
              </w:rPr>
              <w:t>EURAMET</w:t>
            </w:r>
          </w:p>
        </w:tc>
        <w:tc>
          <w:tcPr>
            <w:tcW w:w="3822" w:type="dxa"/>
          </w:tcPr>
          <w:p w14:paraId="003BD528" w14:textId="54ED333C" w:rsidR="00360BFB" w:rsidRPr="00FD613F" w:rsidRDefault="00360BFB" w:rsidP="00360BFB">
            <w:pPr>
              <w:jc w:val="left"/>
              <w:rPr>
                <w:sz w:val="18"/>
                <w:szCs w:val="18"/>
                <w:lang w:val="en-GB"/>
              </w:rPr>
            </w:pPr>
            <w:r>
              <w:rPr>
                <w:sz w:val="18"/>
                <w:szCs w:val="18"/>
                <w:lang w:val="en-GB"/>
              </w:rPr>
              <w:t>June 2025</w:t>
            </w:r>
          </w:p>
        </w:tc>
      </w:tr>
      <w:tr w:rsidR="00360BFB" w:rsidRPr="00190198" w14:paraId="4185BB72" w14:textId="77777777" w:rsidTr="00E25769">
        <w:tc>
          <w:tcPr>
            <w:tcW w:w="1601" w:type="dxa"/>
          </w:tcPr>
          <w:p w14:paraId="20445837" w14:textId="20D55AFA" w:rsidR="00360BFB" w:rsidRPr="00FD613F" w:rsidRDefault="00360BFB" w:rsidP="00360BFB">
            <w:pPr>
              <w:rPr>
                <w:sz w:val="18"/>
                <w:szCs w:val="18"/>
                <w:lang w:val="en-GB"/>
              </w:rPr>
            </w:pPr>
            <w:r>
              <w:rPr>
                <w:sz w:val="18"/>
                <w:szCs w:val="18"/>
                <w:lang w:val="en-GB"/>
              </w:rPr>
              <w:t>INM</w:t>
            </w:r>
          </w:p>
        </w:tc>
        <w:tc>
          <w:tcPr>
            <w:tcW w:w="1867" w:type="dxa"/>
          </w:tcPr>
          <w:p w14:paraId="7A79C82F" w14:textId="340FF0AD" w:rsidR="00360BFB" w:rsidRPr="00FD613F" w:rsidRDefault="00360BFB" w:rsidP="00360BFB">
            <w:pPr>
              <w:rPr>
                <w:sz w:val="18"/>
                <w:szCs w:val="18"/>
                <w:lang w:val="en-GB"/>
              </w:rPr>
            </w:pPr>
            <w:r>
              <w:rPr>
                <w:sz w:val="18"/>
                <w:szCs w:val="18"/>
                <w:lang w:val="en-GB"/>
              </w:rPr>
              <w:t>Romania</w:t>
            </w:r>
          </w:p>
        </w:tc>
        <w:tc>
          <w:tcPr>
            <w:tcW w:w="1772" w:type="dxa"/>
          </w:tcPr>
          <w:p w14:paraId="2D01BD3A" w14:textId="2924E6C1" w:rsidR="00360BFB" w:rsidRPr="00FD613F" w:rsidRDefault="00360BFB" w:rsidP="00360BFB">
            <w:pPr>
              <w:rPr>
                <w:sz w:val="18"/>
                <w:szCs w:val="18"/>
                <w:lang w:val="en-GB"/>
              </w:rPr>
            </w:pPr>
            <w:r w:rsidRPr="00E93D5A">
              <w:rPr>
                <w:sz w:val="18"/>
                <w:szCs w:val="18"/>
                <w:lang w:val="en-GB"/>
              </w:rPr>
              <w:t>EURAMET</w:t>
            </w:r>
          </w:p>
        </w:tc>
        <w:tc>
          <w:tcPr>
            <w:tcW w:w="3822" w:type="dxa"/>
          </w:tcPr>
          <w:p w14:paraId="36C51364" w14:textId="0B475365" w:rsidR="00360BFB" w:rsidRPr="00FD613F" w:rsidRDefault="00360BFB" w:rsidP="00360BFB">
            <w:pPr>
              <w:rPr>
                <w:sz w:val="18"/>
                <w:szCs w:val="18"/>
                <w:lang w:val="en-GB"/>
              </w:rPr>
            </w:pPr>
            <w:r>
              <w:rPr>
                <w:sz w:val="18"/>
                <w:szCs w:val="18"/>
                <w:lang w:val="en-GB"/>
              </w:rPr>
              <w:t>July 2025</w:t>
            </w:r>
          </w:p>
        </w:tc>
      </w:tr>
      <w:tr w:rsidR="00360BFB" w:rsidRPr="00190198" w14:paraId="57DBADD7" w14:textId="77777777" w:rsidTr="00E25769">
        <w:tc>
          <w:tcPr>
            <w:tcW w:w="1601" w:type="dxa"/>
          </w:tcPr>
          <w:p w14:paraId="56F5735F" w14:textId="75E1FF58" w:rsidR="00360BFB" w:rsidRPr="00FD613F" w:rsidRDefault="00360BFB" w:rsidP="00360BFB">
            <w:pPr>
              <w:rPr>
                <w:sz w:val="18"/>
                <w:szCs w:val="18"/>
                <w:lang w:val="en-GB"/>
              </w:rPr>
            </w:pPr>
            <w:r>
              <w:rPr>
                <w:sz w:val="18"/>
                <w:szCs w:val="18"/>
                <w:lang w:val="en-GB"/>
              </w:rPr>
              <w:t>LNE</w:t>
            </w:r>
          </w:p>
        </w:tc>
        <w:tc>
          <w:tcPr>
            <w:tcW w:w="1867" w:type="dxa"/>
          </w:tcPr>
          <w:p w14:paraId="2157FABA" w14:textId="55A653C3" w:rsidR="00360BFB" w:rsidRPr="00FD613F" w:rsidRDefault="00360BFB" w:rsidP="00360BFB">
            <w:pPr>
              <w:rPr>
                <w:sz w:val="18"/>
                <w:szCs w:val="18"/>
                <w:lang w:val="en-GB"/>
              </w:rPr>
            </w:pPr>
            <w:r>
              <w:rPr>
                <w:sz w:val="18"/>
                <w:szCs w:val="18"/>
                <w:lang w:val="en-GB"/>
              </w:rPr>
              <w:t>France</w:t>
            </w:r>
          </w:p>
        </w:tc>
        <w:tc>
          <w:tcPr>
            <w:tcW w:w="1772" w:type="dxa"/>
          </w:tcPr>
          <w:p w14:paraId="473A64AC" w14:textId="4DC7FE56" w:rsidR="00360BFB" w:rsidRPr="00FD613F" w:rsidRDefault="00360BFB" w:rsidP="00360BFB">
            <w:pPr>
              <w:rPr>
                <w:sz w:val="18"/>
                <w:szCs w:val="18"/>
                <w:lang w:val="en-GB"/>
              </w:rPr>
            </w:pPr>
            <w:r w:rsidRPr="00E93D5A">
              <w:rPr>
                <w:sz w:val="18"/>
                <w:szCs w:val="18"/>
                <w:lang w:val="en-GB"/>
              </w:rPr>
              <w:t>EURAMET</w:t>
            </w:r>
          </w:p>
        </w:tc>
        <w:tc>
          <w:tcPr>
            <w:tcW w:w="3822" w:type="dxa"/>
          </w:tcPr>
          <w:p w14:paraId="2634EFAE" w14:textId="282FCF4F" w:rsidR="00360BFB" w:rsidRPr="00FD613F" w:rsidRDefault="00360BFB" w:rsidP="00360BFB">
            <w:pPr>
              <w:rPr>
                <w:sz w:val="18"/>
                <w:szCs w:val="18"/>
                <w:lang w:val="en-GB"/>
              </w:rPr>
            </w:pPr>
            <w:r>
              <w:rPr>
                <w:sz w:val="18"/>
                <w:szCs w:val="18"/>
                <w:lang w:val="en-GB"/>
              </w:rPr>
              <w:t>August 2025</w:t>
            </w:r>
          </w:p>
        </w:tc>
      </w:tr>
      <w:tr w:rsidR="00360BFB" w:rsidRPr="00190198" w14:paraId="157E20BD" w14:textId="77777777" w:rsidTr="00E25769">
        <w:tc>
          <w:tcPr>
            <w:tcW w:w="1601" w:type="dxa"/>
          </w:tcPr>
          <w:p w14:paraId="3BC5B937" w14:textId="68D9C4C0" w:rsidR="00360BFB" w:rsidRPr="00FC4A6B" w:rsidRDefault="00360BFB" w:rsidP="00360BFB">
            <w:pPr>
              <w:rPr>
                <w:sz w:val="18"/>
                <w:szCs w:val="18"/>
                <w:lang w:val="en-GB"/>
              </w:rPr>
            </w:pPr>
            <w:r>
              <w:rPr>
                <w:sz w:val="18"/>
                <w:szCs w:val="18"/>
                <w:lang w:val="en-GB"/>
              </w:rPr>
              <w:t>GUM (Pilot)</w:t>
            </w:r>
          </w:p>
        </w:tc>
        <w:tc>
          <w:tcPr>
            <w:tcW w:w="1867" w:type="dxa"/>
          </w:tcPr>
          <w:p w14:paraId="2B5F42DB" w14:textId="14B80D69" w:rsidR="00360BFB" w:rsidRPr="00FC4A6B" w:rsidRDefault="00360BFB" w:rsidP="00360BFB">
            <w:pPr>
              <w:rPr>
                <w:sz w:val="18"/>
                <w:szCs w:val="18"/>
                <w:lang w:val="en-GB"/>
              </w:rPr>
            </w:pPr>
            <w:r>
              <w:rPr>
                <w:sz w:val="18"/>
                <w:szCs w:val="18"/>
                <w:lang w:val="en-GB"/>
              </w:rPr>
              <w:t>Poland</w:t>
            </w:r>
          </w:p>
        </w:tc>
        <w:tc>
          <w:tcPr>
            <w:tcW w:w="1772" w:type="dxa"/>
          </w:tcPr>
          <w:p w14:paraId="0094972A" w14:textId="00320C3C" w:rsidR="00360BFB" w:rsidRPr="00FC4A6B" w:rsidRDefault="00360BFB" w:rsidP="00360BFB">
            <w:pPr>
              <w:rPr>
                <w:sz w:val="18"/>
                <w:szCs w:val="18"/>
                <w:lang w:val="en-GB"/>
              </w:rPr>
            </w:pPr>
            <w:r w:rsidRPr="00E93D5A">
              <w:rPr>
                <w:sz w:val="18"/>
                <w:szCs w:val="18"/>
                <w:lang w:val="en-GB"/>
              </w:rPr>
              <w:t>EURAMET</w:t>
            </w:r>
          </w:p>
        </w:tc>
        <w:tc>
          <w:tcPr>
            <w:tcW w:w="3822" w:type="dxa"/>
          </w:tcPr>
          <w:p w14:paraId="5F77E44C" w14:textId="1FDA1CBE" w:rsidR="00360BFB" w:rsidRPr="00FC4A6B" w:rsidRDefault="00360BFB" w:rsidP="00360BFB">
            <w:pPr>
              <w:rPr>
                <w:sz w:val="18"/>
                <w:szCs w:val="18"/>
                <w:lang w:val="en-GB"/>
              </w:rPr>
            </w:pPr>
            <w:r>
              <w:rPr>
                <w:sz w:val="18"/>
                <w:szCs w:val="18"/>
                <w:lang w:val="en-GB"/>
              </w:rPr>
              <w:t>September 2025</w:t>
            </w:r>
          </w:p>
        </w:tc>
      </w:tr>
    </w:tbl>
    <w:p w14:paraId="56287FD0" w14:textId="4FDE593D" w:rsidR="003C07A8" w:rsidRPr="00190198" w:rsidRDefault="003C07A8" w:rsidP="00C8571C">
      <w:pPr>
        <w:pStyle w:val="Nagwek1"/>
        <w:numPr>
          <w:ilvl w:val="1"/>
          <w:numId w:val="6"/>
        </w:numPr>
        <w:ind w:left="357" w:hanging="357"/>
        <w:rPr>
          <w:sz w:val="22"/>
          <w:szCs w:val="22"/>
        </w:rPr>
      </w:pPr>
      <w:bookmarkStart w:id="7" w:name="_Toc188960916"/>
      <w:r w:rsidRPr="00190198">
        <w:rPr>
          <w:sz w:val="22"/>
          <w:szCs w:val="22"/>
        </w:rPr>
        <w:t>Reception, transportation, insurance, costs</w:t>
      </w:r>
      <w:bookmarkEnd w:id="7"/>
    </w:p>
    <w:p w14:paraId="0447D3D7" w14:textId="4E9AC2AB" w:rsidR="001B777E" w:rsidRPr="0041036F" w:rsidRDefault="001F5626" w:rsidP="002E1DF1">
      <w:pPr>
        <w:rPr>
          <w:lang w:val="en-GB"/>
        </w:rPr>
      </w:pPr>
      <w:r>
        <w:rPr>
          <w:lang w:val="en-GB"/>
        </w:rPr>
        <w:t xml:space="preserve">Roundness standards </w:t>
      </w:r>
      <w:r w:rsidR="00512913" w:rsidRPr="0041036F">
        <w:rPr>
          <w:lang w:val="en-GB"/>
        </w:rPr>
        <w:t>will circulate within a box together with a copy of this protocol</w:t>
      </w:r>
      <w:r w:rsidR="00291D15">
        <w:rPr>
          <w:lang w:val="en-GB"/>
        </w:rPr>
        <w:t>.</w:t>
      </w:r>
    </w:p>
    <w:p w14:paraId="22F8A6D4" w14:textId="77777777" w:rsidR="00512913" w:rsidRPr="0041036F" w:rsidRDefault="00512913" w:rsidP="002E1DF1">
      <w:pPr>
        <w:rPr>
          <w:lang w:val="en-GB"/>
        </w:rPr>
      </w:pPr>
      <w:r w:rsidRPr="0041036F">
        <w:rPr>
          <w:lang w:val="en-GB"/>
        </w:rPr>
        <w:t>Upon reception of the package, each laboratory has to check that the content is complete and that there is no apparent damage on the box or on the standards. The reception has to be confirmed immediately to the pilot with a copy to the former participant (sender), preferably using the form of Appendix A.</w:t>
      </w:r>
    </w:p>
    <w:p w14:paraId="3824D2EE" w14:textId="39F2B642" w:rsidR="00512913" w:rsidRDefault="00512913" w:rsidP="002E1DF1">
      <w:pPr>
        <w:rPr>
          <w:lang w:val="en-GB"/>
        </w:rPr>
      </w:pPr>
      <w:r w:rsidRPr="0041036F">
        <w:rPr>
          <w:lang w:val="en-GB"/>
        </w:rPr>
        <w:t xml:space="preserve">It is of </w:t>
      </w:r>
      <w:r w:rsidR="00D21C95">
        <w:rPr>
          <w:lang w:val="en-GB"/>
        </w:rPr>
        <w:t>ut</w:t>
      </w:r>
      <w:r w:rsidRPr="0041036F">
        <w:rPr>
          <w:lang w:val="en-GB"/>
        </w:rPr>
        <w:t xml:space="preserve">most importance that the artefacts be transported in a manner in which they will not be lost, damaged or handled by un-authorised persons. Packaging for the artefact has been made to be suitably </w:t>
      </w:r>
      <w:r w:rsidRPr="0041036F">
        <w:rPr>
          <w:lang w:val="en-GB"/>
        </w:rPr>
        <w:lastRenderedPageBreak/>
        <w:t>robust to protect the artefact</w:t>
      </w:r>
      <w:r w:rsidR="00360BFB">
        <w:rPr>
          <w:lang w:val="en-GB"/>
        </w:rPr>
        <w:t>s</w:t>
      </w:r>
      <w:r w:rsidRPr="0041036F">
        <w:rPr>
          <w:lang w:val="en-GB"/>
        </w:rPr>
        <w:t xml:space="preserve"> from being deformed or damaged during transit. The packaging should be marked as ‘Fragile’.</w:t>
      </w:r>
    </w:p>
    <w:p w14:paraId="77BCCBF9" w14:textId="77777777" w:rsidR="00512913" w:rsidRPr="0041036F" w:rsidRDefault="00512913" w:rsidP="002E1DF1">
      <w:pPr>
        <w:rPr>
          <w:lang w:val="en-GB"/>
        </w:rPr>
      </w:pPr>
      <w:r w:rsidRPr="0041036F">
        <w:rPr>
          <w:lang w:val="en-GB"/>
        </w:rPr>
        <w:t xml:space="preserve">Once the measurements have been completed, the package shall be sent to the following participant. </w:t>
      </w:r>
    </w:p>
    <w:p w14:paraId="7E842B66" w14:textId="48202414" w:rsidR="009C2BFD" w:rsidRPr="00EE0F8F" w:rsidRDefault="00512913" w:rsidP="00EE0F8F">
      <w:pPr>
        <w:rPr>
          <w:color w:val="000000"/>
          <w:szCs w:val="22"/>
          <w:lang w:val="en-GB"/>
        </w:rPr>
      </w:pPr>
      <w:r w:rsidRPr="0041036F">
        <w:rPr>
          <w:lang w:val="en-GB"/>
        </w:rPr>
        <w:t>Each participating laboratory shall cover the costs of shipping and transport insurance against loss or damage.</w:t>
      </w:r>
      <w:r w:rsidR="00E01431">
        <w:rPr>
          <w:lang w:val="en-GB"/>
        </w:rPr>
        <w:t xml:space="preserve"> </w:t>
      </w:r>
      <w:r w:rsidRPr="0041036F">
        <w:rPr>
          <w:lang w:val="en-GB"/>
        </w:rPr>
        <w:t>The package should be shipped with a reliable parcel service of its choice. Once the measurements have been completed, please inform the pilot laboratory and the following participant when the package leaves your installations indicating all pertinent information. If, at any point during circulation, the package is damaged, it shall be repaired by the laboratory before shipping it again.</w:t>
      </w:r>
      <w:r w:rsidR="00B33227" w:rsidRPr="0041036F">
        <w:rPr>
          <w:lang w:val="en-GB"/>
        </w:rPr>
        <w:t xml:space="preserve"> </w:t>
      </w:r>
      <w:r w:rsidR="00B33227" w:rsidRPr="00190198">
        <w:rPr>
          <w:color w:val="000000"/>
          <w:szCs w:val="22"/>
          <w:lang w:val="en-GB"/>
        </w:rPr>
        <w:t xml:space="preserve">Always use </w:t>
      </w:r>
      <w:r w:rsidR="00D21C95">
        <w:rPr>
          <w:color w:val="000000"/>
          <w:szCs w:val="22"/>
          <w:lang w:val="en-GB"/>
        </w:rPr>
        <w:t xml:space="preserve">the </w:t>
      </w:r>
      <w:r w:rsidR="00B33227" w:rsidRPr="00190198">
        <w:rPr>
          <w:color w:val="000000"/>
          <w:szCs w:val="22"/>
          <w:lang w:val="en-GB"/>
        </w:rPr>
        <w:t>original packaging</w:t>
      </w:r>
      <w:r w:rsidR="00D21C95">
        <w:rPr>
          <w:color w:val="000000"/>
          <w:szCs w:val="22"/>
          <w:lang w:val="en-GB"/>
        </w:rPr>
        <w:t xml:space="preserve"> provided with the standard</w:t>
      </w:r>
      <w:r w:rsidR="00B33227" w:rsidRPr="00190198">
        <w:rPr>
          <w:color w:val="000000"/>
          <w:szCs w:val="22"/>
          <w:lang w:val="en-GB"/>
        </w:rPr>
        <w:t>.</w:t>
      </w:r>
    </w:p>
    <w:p w14:paraId="27A0E016" w14:textId="6AC32437" w:rsidR="00F04069" w:rsidRPr="0042100E" w:rsidRDefault="00DC498B" w:rsidP="0042100E">
      <w:pPr>
        <w:pStyle w:val="Nagwek1"/>
        <w:numPr>
          <w:ilvl w:val="0"/>
          <w:numId w:val="6"/>
        </w:numPr>
        <w:ind w:left="357" w:hanging="357"/>
        <w:rPr>
          <w:sz w:val="22"/>
          <w:szCs w:val="22"/>
        </w:rPr>
      </w:pPr>
      <w:bookmarkStart w:id="8" w:name="_Toc188960917"/>
      <w:r w:rsidRPr="00190198">
        <w:rPr>
          <w:sz w:val="22"/>
          <w:szCs w:val="22"/>
        </w:rPr>
        <w:t>Artefacts</w:t>
      </w:r>
      <w:bookmarkEnd w:id="8"/>
    </w:p>
    <w:p w14:paraId="59D733E1" w14:textId="2261615A" w:rsidR="00DC498B" w:rsidRPr="00190198" w:rsidRDefault="00DC498B" w:rsidP="00C8571C">
      <w:pPr>
        <w:pStyle w:val="Nagwek1"/>
        <w:numPr>
          <w:ilvl w:val="1"/>
          <w:numId w:val="6"/>
        </w:numPr>
        <w:ind w:left="357" w:hanging="357"/>
        <w:rPr>
          <w:sz w:val="22"/>
          <w:szCs w:val="22"/>
        </w:rPr>
      </w:pPr>
      <w:bookmarkStart w:id="9" w:name="_Toc188960918"/>
      <w:r w:rsidRPr="00190198">
        <w:rPr>
          <w:sz w:val="22"/>
          <w:szCs w:val="22"/>
        </w:rPr>
        <w:t>Description of artefact</w:t>
      </w:r>
      <w:bookmarkEnd w:id="9"/>
    </w:p>
    <w:p w14:paraId="248C2A47" w14:textId="0E2FF984" w:rsidR="00A006C8" w:rsidRDefault="00A006C8" w:rsidP="00A006C8">
      <w:pPr>
        <w:jc w:val="left"/>
        <w:rPr>
          <w:lang w:val="en-GB"/>
        </w:rPr>
      </w:pPr>
      <w:r w:rsidRPr="00B536C0">
        <w:rPr>
          <w:lang w:val="en-GB"/>
        </w:rPr>
        <w:t>The measurement artefact</w:t>
      </w:r>
      <w:r w:rsidR="00EA716E">
        <w:rPr>
          <w:lang w:val="en-GB"/>
        </w:rPr>
        <w:t>s</w:t>
      </w:r>
      <w:r w:rsidRPr="00B536C0">
        <w:rPr>
          <w:lang w:val="en-GB"/>
        </w:rPr>
        <w:t xml:space="preserve"> </w:t>
      </w:r>
      <w:r w:rsidR="00EA716E">
        <w:rPr>
          <w:lang w:val="en-GB"/>
        </w:rPr>
        <w:t>are:</w:t>
      </w:r>
    </w:p>
    <w:p w14:paraId="1DCDFC15" w14:textId="70595130" w:rsidR="00EA716E" w:rsidRPr="00EA716E" w:rsidRDefault="00EA716E" w:rsidP="00EA716E">
      <w:pPr>
        <w:pStyle w:val="Akapitzlist"/>
        <w:numPr>
          <w:ilvl w:val="0"/>
          <w:numId w:val="9"/>
        </w:numPr>
        <w:jc w:val="left"/>
        <w:rPr>
          <w:lang w:val="en-GB"/>
        </w:rPr>
      </w:pPr>
      <w:r w:rsidRPr="00EA716E">
        <w:rPr>
          <w:lang w:val="en-GB"/>
        </w:rPr>
        <w:t>A ceramic sphere:</w:t>
      </w:r>
    </w:p>
    <w:p w14:paraId="10241FCF" w14:textId="652496C2" w:rsidR="002A031F" w:rsidRPr="00B90EA0" w:rsidRDefault="002A031F" w:rsidP="002A031F">
      <w:pPr>
        <w:jc w:val="center"/>
        <w:rPr>
          <w:lang w:val="en-GB"/>
        </w:rPr>
      </w:pPr>
      <w:r>
        <w:rPr>
          <w:noProof/>
        </w:rPr>
        <w:drawing>
          <wp:inline distT="0" distB="0" distL="0" distR="0" wp14:anchorId="47B86B5D" wp14:editId="08FBB54A">
            <wp:extent cx="2724150" cy="1533525"/>
            <wp:effectExtent l="4762" t="0" r="4763" b="4762"/>
            <wp:docPr id="1755899936" name="Obraz 8" descr="Obraz zawierający tekst, Część samochodowa, samochód, Słuchaw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99936" name="Obraz 8" descr="Obraz zawierający tekst, Część samochodowa, samochód, Słuchawki&#10;&#10;Opis wygenerowany automatyczni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724150" cy="1533525"/>
                    </a:xfrm>
                    <a:prstGeom prst="rect">
                      <a:avLst/>
                    </a:prstGeom>
                    <a:noFill/>
                    <a:ln>
                      <a:noFill/>
                    </a:ln>
                  </pic:spPr>
                </pic:pic>
              </a:graphicData>
            </a:graphic>
          </wp:inline>
        </w:drawing>
      </w:r>
    </w:p>
    <w:p w14:paraId="29DA8153" w14:textId="4E0F5814" w:rsidR="00A006C8" w:rsidRPr="002A031F" w:rsidRDefault="00A006C8" w:rsidP="006E6CBF">
      <w:pPr>
        <w:jc w:val="center"/>
        <w:rPr>
          <w:rFonts w:cs="Times New Roman"/>
          <w:szCs w:val="22"/>
          <w:lang w:val="en-GB" w:eastAsia="ko-KR"/>
        </w:rPr>
      </w:pPr>
      <w:r w:rsidRPr="002A031F">
        <w:rPr>
          <w:rFonts w:cs="Times New Roman"/>
          <w:szCs w:val="22"/>
          <w:lang w:val="en-GB" w:eastAsia="ko-KR"/>
        </w:rPr>
        <w:t xml:space="preserve">Fig. </w:t>
      </w:r>
      <w:r w:rsidR="006E6CBF" w:rsidRPr="002A031F">
        <w:rPr>
          <w:rFonts w:cs="Times New Roman"/>
          <w:szCs w:val="22"/>
          <w:lang w:val="en-GB" w:eastAsia="ko-KR"/>
        </w:rPr>
        <w:t>2</w:t>
      </w:r>
      <w:r w:rsidRPr="002A031F">
        <w:rPr>
          <w:rFonts w:cs="Times New Roman"/>
          <w:szCs w:val="22"/>
          <w:lang w:val="en-GB" w:eastAsia="ko-KR"/>
        </w:rPr>
        <w:t xml:space="preserve">: </w:t>
      </w:r>
      <w:r w:rsidR="00B913AE">
        <w:rPr>
          <w:rFonts w:cs="Times New Roman"/>
          <w:i/>
          <w:iCs/>
          <w:szCs w:val="22"/>
          <w:lang w:val="en-GB" w:eastAsia="ko-KR"/>
        </w:rPr>
        <w:t>Ceramic</w:t>
      </w:r>
      <w:r w:rsidR="007E52EC" w:rsidRPr="002A031F">
        <w:rPr>
          <w:rFonts w:cs="Times New Roman"/>
          <w:i/>
          <w:iCs/>
          <w:szCs w:val="22"/>
          <w:lang w:val="en-GB" w:eastAsia="ko-KR"/>
        </w:rPr>
        <w:t xml:space="preserve"> sphere.</w:t>
      </w:r>
    </w:p>
    <w:p w14:paraId="33C0D4D5" w14:textId="31C5D2C7" w:rsidR="00360BFB" w:rsidRDefault="002A031F" w:rsidP="00FD613F">
      <w:pPr>
        <w:widowControl w:val="0"/>
        <w:autoSpaceDE w:val="0"/>
        <w:autoSpaceDN w:val="0"/>
        <w:adjustRightInd w:val="0"/>
        <w:spacing w:before="120" w:after="0"/>
        <w:rPr>
          <w:rFonts w:cs="Times New Roman"/>
          <w:color w:val="000000"/>
          <w:szCs w:val="22"/>
          <w:lang w:val="en-GB" w:eastAsia="ko-KR"/>
        </w:rPr>
      </w:pPr>
      <w:r>
        <w:rPr>
          <w:rFonts w:cs="Times New Roman"/>
          <w:color w:val="000000"/>
          <w:szCs w:val="22"/>
          <w:lang w:val="en-GB" w:eastAsia="ko-KR"/>
        </w:rPr>
        <w:t xml:space="preserve">The sphere is made out of ceramic, it has a diameter of 30 mm and is set on an aluminium base. </w:t>
      </w:r>
    </w:p>
    <w:p w14:paraId="49C5511E" w14:textId="47A24AB3" w:rsidR="002A031F" w:rsidRPr="002A031F" w:rsidRDefault="00360BFB" w:rsidP="00360BFB">
      <w:pPr>
        <w:spacing w:after="160" w:line="259" w:lineRule="auto"/>
        <w:jc w:val="left"/>
        <w:rPr>
          <w:rFonts w:cs="Times New Roman"/>
          <w:color w:val="000000"/>
          <w:szCs w:val="22"/>
          <w:lang w:val="en-GB" w:eastAsia="ko-KR"/>
        </w:rPr>
      </w:pPr>
      <w:r>
        <w:rPr>
          <w:rFonts w:cs="Times New Roman"/>
          <w:color w:val="000000"/>
          <w:szCs w:val="22"/>
          <w:lang w:val="en-GB" w:eastAsia="ko-KR"/>
        </w:rPr>
        <w:br w:type="page"/>
      </w:r>
    </w:p>
    <w:p w14:paraId="0EA0E8C3" w14:textId="4E0E2973" w:rsidR="00650EB6" w:rsidRPr="00650EB6" w:rsidRDefault="002A031F" w:rsidP="00650EB6">
      <w:pPr>
        <w:pStyle w:val="Nagwek1"/>
        <w:numPr>
          <w:ilvl w:val="0"/>
          <w:numId w:val="0"/>
        </w:numPr>
        <w:rPr>
          <w:b w:val="0"/>
          <w:bCs w:val="0"/>
          <w:sz w:val="22"/>
          <w:szCs w:val="22"/>
        </w:rPr>
      </w:pPr>
      <w:bookmarkStart w:id="10" w:name="_Toc188954909"/>
      <w:bookmarkStart w:id="11" w:name="_Toc188960919"/>
      <w:r w:rsidRPr="002A031F">
        <w:rPr>
          <w:b w:val="0"/>
          <w:bCs w:val="0"/>
          <w:sz w:val="22"/>
          <w:szCs w:val="22"/>
        </w:rPr>
        <w:lastRenderedPageBreak/>
        <w:t>Roundness measurements need</w:t>
      </w:r>
      <w:r>
        <w:rPr>
          <w:b w:val="0"/>
          <w:bCs w:val="0"/>
          <w:sz w:val="22"/>
          <w:szCs w:val="22"/>
        </w:rPr>
        <w:t>s to be performed up to 1 mm off of a maximum circumference level.</w:t>
      </w:r>
      <w:bookmarkEnd w:id="10"/>
      <w:bookmarkEnd w:id="11"/>
      <w:r>
        <w:rPr>
          <w:b w:val="0"/>
          <w:bCs w:val="0"/>
          <w:sz w:val="22"/>
          <w:szCs w:val="22"/>
        </w:rPr>
        <w:t xml:space="preserve"> </w:t>
      </w:r>
    </w:p>
    <w:p w14:paraId="026D7743" w14:textId="63D8F87C" w:rsidR="00C37C2F" w:rsidRDefault="00C37C2F" w:rsidP="00C37C2F">
      <w:pPr>
        <w:jc w:val="center"/>
        <w:rPr>
          <w:lang w:val="en-GB"/>
        </w:rPr>
      </w:pPr>
      <w:r>
        <w:rPr>
          <w:noProof/>
          <w:lang w:val="en-GB"/>
        </w:rPr>
        <w:drawing>
          <wp:inline distT="0" distB="0" distL="0" distR="0" wp14:anchorId="5C51C3BD" wp14:editId="33CCD0D0">
            <wp:extent cx="1819694" cy="1743075"/>
            <wp:effectExtent l="0" t="0" r="9525" b="0"/>
            <wp:docPr id="16551571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3134" cy="1746370"/>
                    </a:xfrm>
                    <a:prstGeom prst="rect">
                      <a:avLst/>
                    </a:prstGeom>
                    <a:noFill/>
                    <a:ln>
                      <a:noFill/>
                    </a:ln>
                  </pic:spPr>
                </pic:pic>
              </a:graphicData>
            </a:graphic>
          </wp:inline>
        </w:drawing>
      </w:r>
    </w:p>
    <w:p w14:paraId="7D389229" w14:textId="48A01115" w:rsidR="00C37C2F" w:rsidRDefault="00C37C2F" w:rsidP="00C37C2F">
      <w:pPr>
        <w:jc w:val="center"/>
        <w:rPr>
          <w:lang w:val="en-GB"/>
        </w:rPr>
      </w:pPr>
      <w:r>
        <w:rPr>
          <w:lang w:val="en-GB"/>
        </w:rPr>
        <w:t>Fig. 3. Measurement range.</w:t>
      </w:r>
    </w:p>
    <w:p w14:paraId="371C61E3" w14:textId="33781740" w:rsidR="00F04069" w:rsidRDefault="00650EB6" w:rsidP="0085191B">
      <w:pPr>
        <w:rPr>
          <w:lang w:val="en-GB"/>
        </w:rPr>
      </w:pPr>
      <w:r>
        <w:rPr>
          <w:lang w:val="en-GB"/>
        </w:rPr>
        <w:t>The standard shall be clamped by each laboratory’s own usual methods which have to be described shortly on the report form. Do not try to remove the sphere from the base. The sphere shall be measured by clamping its base support.</w:t>
      </w:r>
    </w:p>
    <w:p w14:paraId="33A44C6D" w14:textId="4AF6FAF0" w:rsidR="00EA716E" w:rsidRDefault="00EA716E" w:rsidP="00EA716E">
      <w:pPr>
        <w:pStyle w:val="Akapitzlist"/>
        <w:numPr>
          <w:ilvl w:val="0"/>
          <w:numId w:val="9"/>
        </w:numPr>
        <w:rPr>
          <w:lang w:val="en-GB"/>
        </w:rPr>
      </w:pPr>
      <w:r>
        <w:rPr>
          <w:lang w:val="en-GB"/>
        </w:rPr>
        <w:t>A steel ring:</w:t>
      </w:r>
    </w:p>
    <w:p w14:paraId="3FC2C321" w14:textId="77777777" w:rsidR="00EA716E" w:rsidRDefault="00EA716E" w:rsidP="00EA716E">
      <w:pPr>
        <w:keepNext/>
        <w:jc w:val="center"/>
      </w:pPr>
      <w:r>
        <w:rPr>
          <w:noProof/>
        </w:rPr>
        <w:drawing>
          <wp:inline distT="0" distB="0" distL="0" distR="0" wp14:anchorId="3C3DCE6E" wp14:editId="536DA6CE">
            <wp:extent cx="3060744" cy="1724025"/>
            <wp:effectExtent l="0" t="0" r="6350" b="0"/>
            <wp:docPr id="1109087818" name="Obraz 1" descr="Obraz zawierający metal, platyna, srebro, w pomieszcze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818" name="Obraz 1" descr="Obraz zawierający metal, platyna, srebro, w pomieszczeni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8004" cy="1728114"/>
                    </a:xfrm>
                    <a:prstGeom prst="rect">
                      <a:avLst/>
                    </a:prstGeom>
                    <a:noFill/>
                    <a:ln>
                      <a:noFill/>
                    </a:ln>
                  </pic:spPr>
                </pic:pic>
              </a:graphicData>
            </a:graphic>
          </wp:inline>
        </w:drawing>
      </w:r>
    </w:p>
    <w:p w14:paraId="0152B44B" w14:textId="7B36F17C" w:rsidR="00EA716E" w:rsidRDefault="002A1F7D" w:rsidP="00EA716E">
      <w:pPr>
        <w:pStyle w:val="Legenda"/>
        <w:jc w:val="center"/>
        <w:rPr>
          <w:b w:val="0"/>
          <w:bCs w:val="0"/>
        </w:rPr>
      </w:pPr>
      <w:r>
        <w:rPr>
          <w:b w:val="0"/>
          <w:bCs w:val="0"/>
        </w:rPr>
        <w:t>Fig. 4. Steel ring.</w:t>
      </w:r>
    </w:p>
    <w:p w14:paraId="6D7AAC65" w14:textId="77777777" w:rsidR="00DF24D1" w:rsidRDefault="00DF24D1" w:rsidP="00DF24D1">
      <w:pPr>
        <w:keepNext/>
        <w:jc w:val="center"/>
      </w:pPr>
      <w:r>
        <w:rPr>
          <w:noProof/>
        </w:rPr>
        <w:drawing>
          <wp:inline distT="0" distB="0" distL="0" distR="0" wp14:anchorId="52350BC8" wp14:editId="0CB6328E">
            <wp:extent cx="3230376" cy="3259347"/>
            <wp:effectExtent l="0" t="0" r="8255" b="0"/>
            <wp:docPr id="58996450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64507"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30376" cy="3259347"/>
                    </a:xfrm>
                    <a:prstGeom prst="rect">
                      <a:avLst/>
                    </a:prstGeom>
                    <a:noFill/>
                    <a:ln>
                      <a:noFill/>
                    </a:ln>
                  </pic:spPr>
                </pic:pic>
              </a:graphicData>
            </a:graphic>
          </wp:inline>
        </w:drawing>
      </w:r>
    </w:p>
    <w:p w14:paraId="6A9A9CFA" w14:textId="2152B701" w:rsidR="00DF24D1" w:rsidRPr="00DF24D1" w:rsidRDefault="00DF24D1" w:rsidP="00DF24D1">
      <w:pPr>
        <w:pStyle w:val="Legenda"/>
        <w:jc w:val="center"/>
        <w:rPr>
          <w:b w:val="0"/>
          <w:bCs w:val="0"/>
        </w:rPr>
      </w:pPr>
      <w:r>
        <w:rPr>
          <w:b w:val="0"/>
          <w:bCs w:val="0"/>
        </w:rPr>
        <w:t>Fig. 4. Measurement range.</w:t>
      </w:r>
    </w:p>
    <w:p w14:paraId="6D3A2B38" w14:textId="24F2E0A6" w:rsidR="002A1F7D" w:rsidRPr="00EA716E" w:rsidRDefault="00EA716E" w:rsidP="00EA716E">
      <w:pPr>
        <w:rPr>
          <w:lang w:val="en-GB"/>
        </w:rPr>
      </w:pPr>
      <w:r>
        <w:rPr>
          <w:lang w:val="en-GB"/>
        </w:rPr>
        <w:lastRenderedPageBreak/>
        <w:t>The standard is a steel ring with 90</w:t>
      </w:r>
      <w:r w:rsidR="003F092B">
        <w:rPr>
          <w:lang w:val="en-GB"/>
        </w:rPr>
        <w:t xml:space="preserve"> </w:t>
      </w:r>
      <w:r>
        <w:rPr>
          <w:lang w:val="en-GB"/>
        </w:rPr>
        <w:t>mm outer diameter and</w:t>
      </w:r>
      <w:r w:rsidR="00884860">
        <w:rPr>
          <w:lang w:val="en-GB"/>
        </w:rPr>
        <w:t xml:space="preserve"> with</w:t>
      </w:r>
      <w:r>
        <w:rPr>
          <w:lang w:val="en-GB"/>
        </w:rPr>
        <w:t xml:space="preserve"> changing inner diameter.</w:t>
      </w:r>
      <w:r w:rsidR="00884860">
        <w:rPr>
          <w:lang w:val="en-GB"/>
        </w:rPr>
        <w:t xml:space="preserve"> The inner surface of the ring has a marker placed on it, which indicates the placement of the measurement. Inner roundness measurement must be carried out no more than 2 mm above the marker. </w:t>
      </w:r>
    </w:p>
    <w:p w14:paraId="2FEE119C" w14:textId="621A9125" w:rsidR="00DC498B" w:rsidRPr="00190198" w:rsidRDefault="00DC498B" w:rsidP="00C8571C">
      <w:pPr>
        <w:pStyle w:val="Nagwek1"/>
        <w:numPr>
          <w:ilvl w:val="0"/>
          <w:numId w:val="6"/>
        </w:numPr>
        <w:ind w:left="357" w:hanging="357"/>
        <w:rPr>
          <w:sz w:val="22"/>
          <w:szCs w:val="22"/>
        </w:rPr>
      </w:pPr>
      <w:bookmarkStart w:id="12" w:name="_Toc188960920"/>
      <w:r w:rsidRPr="00190198">
        <w:rPr>
          <w:sz w:val="22"/>
          <w:szCs w:val="22"/>
        </w:rPr>
        <w:t>Measuring instructions</w:t>
      </w:r>
      <w:bookmarkEnd w:id="12"/>
    </w:p>
    <w:p w14:paraId="5B266377" w14:textId="122C2086" w:rsidR="00DC498B" w:rsidRPr="00190198" w:rsidRDefault="00DC498B" w:rsidP="00C8571C">
      <w:pPr>
        <w:pStyle w:val="Nagwek1"/>
        <w:numPr>
          <w:ilvl w:val="1"/>
          <w:numId w:val="6"/>
        </w:numPr>
        <w:ind w:left="357" w:hanging="357"/>
        <w:rPr>
          <w:sz w:val="22"/>
          <w:szCs w:val="22"/>
        </w:rPr>
      </w:pPr>
      <w:bookmarkStart w:id="13" w:name="_Toc188960921"/>
      <w:r w:rsidRPr="00190198">
        <w:rPr>
          <w:sz w:val="22"/>
          <w:szCs w:val="22"/>
        </w:rPr>
        <w:t>Handling the artefact</w:t>
      </w:r>
      <w:bookmarkEnd w:id="13"/>
    </w:p>
    <w:p w14:paraId="6AC2A53E" w14:textId="1F173B66" w:rsidR="00DC498B" w:rsidRPr="00190198" w:rsidRDefault="0039012F" w:rsidP="002E1DF1">
      <w:pPr>
        <w:rPr>
          <w:lang w:val="en-GB"/>
        </w:rPr>
      </w:pPr>
      <w:r>
        <w:rPr>
          <w:lang w:val="en-GB"/>
        </w:rPr>
        <w:t>The roundness standard</w:t>
      </w:r>
      <w:r w:rsidR="00DF24D1">
        <w:rPr>
          <w:lang w:val="en-GB"/>
        </w:rPr>
        <w:t>s</w:t>
      </w:r>
      <w:r>
        <w:rPr>
          <w:lang w:val="en-GB"/>
        </w:rPr>
        <w:t xml:space="preserve"> </w:t>
      </w:r>
      <w:r w:rsidR="00DC498B" w:rsidRPr="00190198">
        <w:rPr>
          <w:lang w:val="en-GB"/>
        </w:rPr>
        <w:t xml:space="preserve">should be stored in such a way as to prevent damage. </w:t>
      </w:r>
      <w:r w:rsidR="00DF24D1">
        <w:rPr>
          <w:lang w:val="en-GB"/>
        </w:rPr>
        <w:t>They</w:t>
      </w:r>
      <w:r>
        <w:rPr>
          <w:lang w:val="en-GB"/>
        </w:rPr>
        <w:t xml:space="preserve"> </w:t>
      </w:r>
      <w:r w:rsidR="00DC498B" w:rsidRPr="00190198">
        <w:rPr>
          <w:lang w:val="en-GB"/>
        </w:rPr>
        <w:t>shall only be handled by authorized persons.</w:t>
      </w:r>
      <w:r w:rsidR="00650EB6">
        <w:rPr>
          <w:lang w:val="en-GB"/>
        </w:rPr>
        <w:t xml:space="preserve"> No other measurements are to be attempted by the participants and the roundness standard should not be used for any purpose other than described in this document. The artefact</w:t>
      </w:r>
      <w:r w:rsidR="00DF24D1">
        <w:rPr>
          <w:lang w:val="en-GB"/>
        </w:rPr>
        <w:t>s</w:t>
      </w:r>
      <w:r w:rsidR="00650EB6">
        <w:rPr>
          <w:lang w:val="en-GB"/>
        </w:rPr>
        <w:t xml:space="preserve"> may not be given to any party other than the participants in the comparison.</w:t>
      </w:r>
    </w:p>
    <w:p w14:paraId="21D9ED5A" w14:textId="63144DF4" w:rsidR="0039012F" w:rsidRPr="00C37C2F" w:rsidRDefault="00DC498B" w:rsidP="002E1DF1">
      <w:pPr>
        <w:rPr>
          <w:color w:val="000000"/>
          <w:szCs w:val="22"/>
          <w:lang w:val="en-GB"/>
        </w:rPr>
      </w:pPr>
      <w:r w:rsidRPr="00190198">
        <w:rPr>
          <w:lang w:val="en-GB"/>
        </w:rPr>
        <w:t xml:space="preserve">Before making the measurements, the </w:t>
      </w:r>
      <w:r w:rsidR="0039012F">
        <w:rPr>
          <w:lang w:val="en-GB"/>
        </w:rPr>
        <w:t>roundness standard</w:t>
      </w:r>
      <w:r w:rsidR="00DF24D1">
        <w:rPr>
          <w:lang w:val="en-GB"/>
        </w:rPr>
        <w:t>s</w:t>
      </w:r>
      <w:r w:rsidR="0039012F">
        <w:rPr>
          <w:lang w:val="en-GB"/>
        </w:rPr>
        <w:t xml:space="preserve"> </w:t>
      </w:r>
      <w:r w:rsidRPr="00190198">
        <w:rPr>
          <w:lang w:val="en-GB"/>
        </w:rPr>
        <w:t>need</w:t>
      </w:r>
      <w:r w:rsidR="00DF24D1">
        <w:rPr>
          <w:lang w:val="en-GB"/>
        </w:rPr>
        <w:t xml:space="preserve"> </w:t>
      </w:r>
      <w:r w:rsidRPr="00190198">
        <w:rPr>
          <w:lang w:val="en-GB"/>
        </w:rPr>
        <w:t>to be checked to verify that the measuring surface is not damaged (</w:t>
      </w:r>
      <w:r w:rsidRPr="00190198">
        <w:rPr>
          <w:color w:val="000000"/>
          <w:szCs w:val="22"/>
          <w:lang w:val="en-GB"/>
        </w:rPr>
        <w:t>never</w:t>
      </w:r>
      <w:r w:rsidRPr="00190198">
        <w:rPr>
          <w:b/>
          <w:bCs/>
          <w:color w:val="000000"/>
          <w:szCs w:val="22"/>
          <w:lang w:val="en-GB"/>
        </w:rPr>
        <w:t xml:space="preserve"> </w:t>
      </w:r>
      <w:r w:rsidRPr="00190198">
        <w:rPr>
          <w:color w:val="000000"/>
          <w:szCs w:val="22"/>
          <w:lang w:val="en-GB"/>
        </w:rPr>
        <w:t>touch the</w:t>
      </w:r>
      <w:r w:rsidRPr="00190198">
        <w:rPr>
          <w:color w:val="000000"/>
          <w:szCs w:val="22"/>
          <w:lang w:val="en-GB" w:eastAsia="ko-KR"/>
        </w:rPr>
        <w:t xml:space="preserve"> measuring </w:t>
      </w:r>
      <w:r w:rsidR="00C37C2F">
        <w:rPr>
          <w:color w:val="000000"/>
          <w:szCs w:val="22"/>
          <w:lang w:val="en-GB" w:eastAsia="ko-KR"/>
        </w:rPr>
        <w:t>surface</w:t>
      </w:r>
      <w:r w:rsidRPr="00190198">
        <w:rPr>
          <w:color w:val="000000"/>
          <w:szCs w:val="22"/>
          <w:lang w:val="en-GB" w:eastAsia="ko-KR"/>
        </w:rPr>
        <w:t xml:space="preserve"> </w:t>
      </w:r>
      <w:r w:rsidRPr="00190198">
        <w:rPr>
          <w:color w:val="000000"/>
          <w:szCs w:val="22"/>
          <w:lang w:val="en-GB"/>
        </w:rPr>
        <w:t>with bare fingers).</w:t>
      </w:r>
    </w:p>
    <w:p w14:paraId="61ABAE35" w14:textId="0C1970D1" w:rsidR="00DC498B" w:rsidRPr="00190198" w:rsidRDefault="00DC498B" w:rsidP="002E1DF1">
      <w:pPr>
        <w:rPr>
          <w:lang w:val="en-GB"/>
        </w:rPr>
      </w:pPr>
      <w:r w:rsidRPr="00190198">
        <w:rPr>
          <w:lang w:val="en-GB"/>
        </w:rPr>
        <w:t xml:space="preserve">The </w:t>
      </w:r>
      <w:r w:rsidR="0039012F">
        <w:rPr>
          <w:lang w:val="en-GB"/>
        </w:rPr>
        <w:t xml:space="preserve">artefact </w:t>
      </w:r>
      <w:r w:rsidRPr="00190198">
        <w:rPr>
          <w:lang w:val="en-GB"/>
        </w:rPr>
        <w:t>should be examined before despatch and any change in condition during the measurement at each laboratory should be communicated to the pilot laboratory. Ensure that the content of the package is complete before shipment. Always use the original packaging.</w:t>
      </w:r>
    </w:p>
    <w:p w14:paraId="7B5C0BB2" w14:textId="49C43CD0" w:rsidR="00DC498B" w:rsidRPr="00190198" w:rsidRDefault="00DC498B" w:rsidP="00C8571C">
      <w:pPr>
        <w:pStyle w:val="Nagwek1"/>
        <w:numPr>
          <w:ilvl w:val="1"/>
          <w:numId w:val="6"/>
        </w:numPr>
        <w:ind w:left="357" w:hanging="357"/>
        <w:rPr>
          <w:sz w:val="22"/>
          <w:szCs w:val="22"/>
        </w:rPr>
      </w:pPr>
      <w:bookmarkStart w:id="14" w:name="_Toc188960922"/>
      <w:r w:rsidRPr="00190198">
        <w:rPr>
          <w:sz w:val="22"/>
          <w:szCs w:val="22"/>
        </w:rPr>
        <w:t>Traceability</w:t>
      </w:r>
      <w:bookmarkEnd w:id="14"/>
    </w:p>
    <w:p w14:paraId="15399E4F" w14:textId="77777777" w:rsidR="00DC498B" w:rsidRPr="00190198" w:rsidRDefault="00DC498B" w:rsidP="00DC498B">
      <w:pPr>
        <w:rPr>
          <w:lang w:val="en-GB"/>
        </w:rPr>
      </w:pPr>
      <w:r w:rsidRPr="00190198">
        <w:rPr>
          <w:lang w:val="en-GB"/>
        </w:rPr>
        <w:t>Length measurements should be traceable to the latest realisation of the metre as set out in the current “</w:t>
      </w:r>
      <w:r w:rsidRPr="00190198">
        <w:rPr>
          <w:i/>
          <w:lang w:val="en-GB"/>
        </w:rPr>
        <w:t>Mise en Pratique</w:t>
      </w:r>
      <w:r w:rsidRPr="00190198">
        <w:rPr>
          <w:lang w:val="en-GB"/>
        </w:rPr>
        <w:t>”. Temperature measurements should be made using the International Temperature Scale of 1990 (ITS-90).</w:t>
      </w:r>
    </w:p>
    <w:p w14:paraId="2CDE45B6" w14:textId="4C86C95B" w:rsidR="00DC498B" w:rsidRPr="00190198" w:rsidRDefault="00DC498B" w:rsidP="00C8571C">
      <w:pPr>
        <w:pStyle w:val="Nagwek1"/>
        <w:numPr>
          <w:ilvl w:val="1"/>
          <w:numId w:val="6"/>
        </w:numPr>
        <w:ind w:left="357" w:hanging="357"/>
        <w:rPr>
          <w:sz w:val="22"/>
          <w:szCs w:val="22"/>
        </w:rPr>
      </w:pPr>
      <w:bookmarkStart w:id="15" w:name="_Toc188960923"/>
      <w:r w:rsidRPr="00190198">
        <w:rPr>
          <w:sz w:val="22"/>
          <w:szCs w:val="22"/>
        </w:rPr>
        <w:t>Measurands</w:t>
      </w:r>
      <w:bookmarkEnd w:id="15"/>
    </w:p>
    <w:p w14:paraId="2BA71DF5" w14:textId="38188294" w:rsidR="00D126B0" w:rsidRDefault="00DC498B" w:rsidP="00650EB6">
      <w:pPr>
        <w:tabs>
          <w:tab w:val="right" w:pos="9356"/>
        </w:tabs>
        <w:ind w:right="4"/>
        <w:rPr>
          <w:color w:val="000000" w:themeColor="text1"/>
          <w:lang w:val="en-GB"/>
        </w:rPr>
      </w:pPr>
      <w:r w:rsidRPr="00190198">
        <w:rPr>
          <w:color w:val="000000" w:themeColor="text1"/>
          <w:lang w:val="en-GB"/>
        </w:rPr>
        <w:t xml:space="preserve">The measurands of the </w:t>
      </w:r>
      <w:r w:rsidR="0039012F">
        <w:rPr>
          <w:color w:val="000000" w:themeColor="text1"/>
          <w:lang w:val="en-GB"/>
        </w:rPr>
        <w:t>artefact ar</w:t>
      </w:r>
      <w:r w:rsidR="00E05AF4">
        <w:rPr>
          <w:color w:val="000000" w:themeColor="text1"/>
          <w:lang w:val="en-GB"/>
        </w:rPr>
        <w:t>e peak-to-valley roundness deviation</w:t>
      </w:r>
      <w:r w:rsidR="00360BFB">
        <w:rPr>
          <w:color w:val="000000" w:themeColor="text1"/>
          <w:lang w:val="en-GB"/>
        </w:rPr>
        <w:t>s</w:t>
      </w:r>
      <w:r w:rsidR="00E05AF4">
        <w:rPr>
          <w:color w:val="000000" w:themeColor="text1"/>
          <w:lang w:val="en-GB"/>
        </w:rPr>
        <w:t xml:space="preserve"> </w:t>
      </w:r>
      <w:r w:rsidR="00F007AC">
        <w:rPr>
          <w:color w:val="000000" w:themeColor="text1"/>
          <w:lang w:val="en-GB"/>
        </w:rPr>
        <w:t>with 1-15, 1-50, 1-150 and 1-500 Gaussian filtering method and LSCi reference circle</w:t>
      </w:r>
      <w:r w:rsidR="00650EB6">
        <w:rPr>
          <w:color w:val="000000" w:themeColor="text1"/>
          <w:lang w:val="en-GB"/>
        </w:rPr>
        <w:t>, and, if possible, to the minimum zone reference circles (MZCi) in accordance with the ISO/TS 12181-1:2011</w:t>
      </w:r>
      <w:r w:rsidR="00F007AC">
        <w:rPr>
          <w:color w:val="000000" w:themeColor="text1"/>
          <w:lang w:val="en-GB"/>
        </w:rPr>
        <w:t>.</w:t>
      </w:r>
      <w:r w:rsidR="00C37C2F">
        <w:rPr>
          <w:color w:val="000000" w:themeColor="text1"/>
          <w:lang w:val="en-GB"/>
        </w:rPr>
        <w:t xml:space="preserve"> The measurements should be carried out using the measurement lines laid out in section 4.1.</w:t>
      </w:r>
      <w:r w:rsidR="00D126B0">
        <w:rPr>
          <w:color w:val="000000" w:themeColor="text1"/>
          <w:lang w:val="en-GB"/>
        </w:rPr>
        <w:t xml:space="preserve"> All measurements must be performed at the speed of traverse not more than 10 revolutions per minute. Probing force must be specified and should not exceed 0.25 N. Stylus tip radius must be specified. Probing direction for measurement should be perpendicular to the axis of rotation. In case a different orientation is used, this should be clearly reported. </w:t>
      </w:r>
    </w:p>
    <w:p w14:paraId="5C854BAA" w14:textId="3F2C88C7" w:rsidR="00A125F6" w:rsidRPr="00650EB6" w:rsidRDefault="00DC498B" w:rsidP="00650EB6">
      <w:pPr>
        <w:tabs>
          <w:tab w:val="right" w:pos="9356"/>
        </w:tabs>
        <w:ind w:right="4"/>
        <w:rPr>
          <w:color w:val="000000" w:themeColor="text1"/>
          <w:lang w:val="en-GB"/>
        </w:rPr>
      </w:pPr>
      <w:r w:rsidRPr="00190198">
        <w:rPr>
          <w:color w:val="000000" w:themeColor="text1"/>
          <w:lang w:val="en-GB"/>
        </w:rPr>
        <w:t xml:space="preserve">Laboratories should report the temperatures at which the </w:t>
      </w:r>
      <w:r w:rsidR="00650EB6">
        <w:rPr>
          <w:color w:val="000000" w:themeColor="text1"/>
          <w:lang w:val="en-GB"/>
        </w:rPr>
        <w:t>roundness</w:t>
      </w:r>
      <w:r w:rsidRPr="00190198">
        <w:rPr>
          <w:color w:val="000000" w:themeColor="text1"/>
          <w:lang w:val="en-GB"/>
        </w:rPr>
        <w:t xml:space="preserve"> measurements were made. Laboratories should only measure the artefact at a temperature close to 20 °C.</w:t>
      </w:r>
    </w:p>
    <w:p w14:paraId="00B48DCE" w14:textId="2877A226" w:rsidR="00A125F6" w:rsidRPr="00190198" w:rsidRDefault="00650EB6" w:rsidP="00A125F6">
      <w:pPr>
        <w:tabs>
          <w:tab w:val="right" w:pos="9356"/>
        </w:tabs>
        <w:ind w:right="4"/>
        <w:rPr>
          <w:color w:val="000000" w:themeColor="text1"/>
          <w:lang w:val="en-GB"/>
        </w:rPr>
      </w:pPr>
      <w:r>
        <w:rPr>
          <w:color w:val="000000" w:themeColor="text1"/>
          <w:lang w:val="en-GB"/>
        </w:rPr>
        <w:t xml:space="preserve">Only </w:t>
      </w:r>
      <w:r w:rsidR="00A125F6" w:rsidRPr="00190198">
        <w:rPr>
          <w:color w:val="000000" w:themeColor="text1"/>
          <w:lang w:val="en-GB"/>
        </w:rPr>
        <w:t xml:space="preserve">one result for a measurand shall be given irrespective of the number </w:t>
      </w:r>
      <w:r>
        <w:rPr>
          <w:color w:val="000000" w:themeColor="text1"/>
          <w:lang w:val="en-GB"/>
        </w:rPr>
        <w:t>roundness measurements performed.</w:t>
      </w:r>
      <w:r w:rsidR="00A125F6" w:rsidRPr="00190198">
        <w:rPr>
          <w:color w:val="000000" w:themeColor="text1"/>
          <w:lang w:val="en-GB"/>
        </w:rPr>
        <w:t xml:space="preserve"> For each method applied, a complete description of the method has to be given. The measurements have to be reported for measuring conditions, given in </w:t>
      </w:r>
      <w:r w:rsidR="00D34915" w:rsidRPr="00190198">
        <w:rPr>
          <w:color w:val="000000" w:themeColor="text1"/>
          <w:lang w:val="en-GB"/>
        </w:rPr>
        <w:t>5.7</w:t>
      </w:r>
      <w:r w:rsidR="00A125F6" w:rsidRPr="00190198">
        <w:rPr>
          <w:color w:val="000000" w:themeColor="text1"/>
          <w:lang w:val="en-GB"/>
        </w:rPr>
        <w:t>.</w:t>
      </w:r>
    </w:p>
    <w:p w14:paraId="29B0D188" w14:textId="52B1F128" w:rsidR="00A125F6" w:rsidRPr="00190198" w:rsidRDefault="00A125F6" w:rsidP="00A125F6">
      <w:pPr>
        <w:tabs>
          <w:tab w:val="right" w:pos="9356"/>
        </w:tabs>
        <w:ind w:right="4"/>
        <w:rPr>
          <w:color w:val="000000" w:themeColor="text1"/>
          <w:lang w:val="en-GB"/>
        </w:rPr>
      </w:pPr>
      <w:r w:rsidRPr="00190198">
        <w:rPr>
          <w:color w:val="000000" w:themeColor="text1"/>
          <w:lang w:val="en-GB"/>
        </w:rPr>
        <w:t xml:space="preserve">Before calibration, the </w:t>
      </w:r>
      <w:r w:rsidR="0039012F">
        <w:rPr>
          <w:color w:val="000000" w:themeColor="text1"/>
          <w:lang w:val="en-GB"/>
        </w:rPr>
        <w:t xml:space="preserve">artefact </w:t>
      </w:r>
      <w:r w:rsidRPr="00190198">
        <w:rPr>
          <w:color w:val="000000" w:themeColor="text1"/>
          <w:lang w:val="en-GB"/>
        </w:rPr>
        <w:t>must be inspected for damage. Any scratches, dirty spots or other damages have to be documented.</w:t>
      </w:r>
    </w:p>
    <w:p w14:paraId="7F6322FF" w14:textId="77777777" w:rsidR="00A125F6" w:rsidRPr="00190198" w:rsidRDefault="00A125F6" w:rsidP="00A125F6">
      <w:pPr>
        <w:tabs>
          <w:tab w:val="right" w:pos="9356"/>
        </w:tabs>
        <w:ind w:right="4"/>
        <w:rPr>
          <w:color w:val="000000" w:themeColor="text1"/>
          <w:lang w:val="en-GB"/>
        </w:rPr>
      </w:pPr>
      <w:r w:rsidRPr="00190198">
        <w:rPr>
          <w:color w:val="000000" w:themeColor="text1"/>
          <w:lang w:val="en-GB"/>
        </w:rPr>
        <w:t xml:space="preserve">The measurement results (appropriately corrected to the reference conditions) have to be reported using the table in Appendix B.1. </w:t>
      </w:r>
    </w:p>
    <w:p w14:paraId="3A304B8F" w14:textId="3A149D34" w:rsidR="00DC498B" w:rsidRPr="00190198" w:rsidRDefault="00DC498B" w:rsidP="00C8571C">
      <w:pPr>
        <w:pStyle w:val="Nagwek1"/>
        <w:numPr>
          <w:ilvl w:val="1"/>
          <w:numId w:val="6"/>
        </w:numPr>
        <w:ind w:left="357" w:hanging="357"/>
        <w:rPr>
          <w:sz w:val="22"/>
          <w:szCs w:val="22"/>
        </w:rPr>
      </w:pPr>
      <w:bookmarkStart w:id="16" w:name="_Toc188960924"/>
      <w:r w:rsidRPr="00190198">
        <w:rPr>
          <w:sz w:val="22"/>
          <w:szCs w:val="22"/>
        </w:rPr>
        <w:t>Measurement uncertainty</w:t>
      </w:r>
      <w:bookmarkEnd w:id="16"/>
    </w:p>
    <w:p w14:paraId="69CF7A33" w14:textId="77777777" w:rsidR="00DC498B" w:rsidRPr="00190198" w:rsidRDefault="00DC498B" w:rsidP="00DC498B">
      <w:pPr>
        <w:rPr>
          <w:lang w:val="en-GB"/>
        </w:rPr>
      </w:pPr>
      <w:r w:rsidRPr="00190198">
        <w:rPr>
          <w:lang w:val="en-GB"/>
        </w:rPr>
        <w:t xml:space="preserve">The uncertainty of measurement shall be estimated according to the ISO Guide to the Expression of Uncertainty in Measurement. The participating laboratories are encouraged to use their usual model for the uncertainty calculation. </w:t>
      </w:r>
    </w:p>
    <w:p w14:paraId="578FDAC8" w14:textId="77777777" w:rsidR="00DC498B" w:rsidRPr="00190198" w:rsidRDefault="00DC498B" w:rsidP="00DC498B">
      <w:pPr>
        <w:rPr>
          <w:lang w:val="en-GB"/>
        </w:rPr>
      </w:pPr>
      <w:r w:rsidRPr="00190198">
        <w:rPr>
          <w:lang w:val="en-GB"/>
        </w:rPr>
        <w:lastRenderedPageBreak/>
        <w:t xml:space="preserve">The participants are asked to report the standard uncertainty. Moreover, the expanded measurement uncertainty </w:t>
      </w:r>
      <w:r w:rsidRPr="00190198">
        <w:rPr>
          <w:rFonts w:ascii="Times New Roman" w:hAnsi="Times New Roman" w:cs="Times New Roman"/>
          <w:i/>
          <w:iCs/>
          <w:lang w:val="en-GB"/>
        </w:rPr>
        <w:t>U</w:t>
      </w:r>
      <w:r w:rsidRPr="00190198">
        <w:rPr>
          <w:lang w:val="en-GB"/>
        </w:rPr>
        <w:t xml:space="preserve"> has to be expressed in the usual length-dependent form:</w:t>
      </w:r>
    </w:p>
    <w:p w14:paraId="44C905D8" w14:textId="77777777" w:rsidR="00DC498B" w:rsidRPr="00190198" w:rsidRDefault="00DC498B" w:rsidP="00DC498B">
      <w:pPr>
        <w:rPr>
          <w:lang w:val="en-GB"/>
        </w:rPr>
      </w:pPr>
      <m:oMathPara>
        <m:oMath>
          <m:r>
            <w:rPr>
              <w:rFonts w:ascii="Cambria Math" w:hAnsi="Cambria Math"/>
              <w:lang w:val="en-GB"/>
            </w:rPr>
            <m:t>U=Q[A,B∙L]</m:t>
          </m:r>
        </m:oMath>
      </m:oMathPara>
    </w:p>
    <w:p w14:paraId="6EF20B7A" w14:textId="1F229DA8" w:rsidR="00DC498B" w:rsidRPr="00190198" w:rsidRDefault="00DC498B" w:rsidP="00DC498B">
      <w:pPr>
        <w:ind w:firstLine="708"/>
        <w:rPr>
          <w:bCs/>
          <w:szCs w:val="22"/>
          <w:lang w:val="en-GB"/>
        </w:rPr>
      </w:pPr>
      <w:r w:rsidRPr="00190198">
        <w:rPr>
          <w:lang w:val="en-GB"/>
        </w:rPr>
        <w:t xml:space="preserve">where </w:t>
      </w:r>
      <w:r w:rsidRPr="00190198">
        <w:rPr>
          <w:bCs/>
          <w:i/>
          <w:szCs w:val="22"/>
          <w:lang w:val="en-GB"/>
        </w:rPr>
        <w:t>A</w:t>
      </w:r>
      <w:r w:rsidRPr="00190198">
        <w:rPr>
          <w:bCs/>
          <w:szCs w:val="22"/>
          <w:lang w:val="en-GB"/>
        </w:rPr>
        <w:t xml:space="preserve"> is the fixed part and </w:t>
      </w:r>
      <w:r w:rsidRPr="00190198">
        <w:rPr>
          <w:bCs/>
          <w:i/>
          <w:szCs w:val="22"/>
          <w:lang w:val="en-GB"/>
        </w:rPr>
        <w:t>B</w:t>
      </w:r>
      <w:r w:rsidRPr="00190198">
        <w:rPr>
          <w:bCs/>
          <w:szCs w:val="22"/>
          <w:lang w:val="en-GB"/>
        </w:rPr>
        <w:t xml:space="preserve"> the proportional</w:t>
      </w:r>
      <w:r w:rsidR="00D318EF" w:rsidRPr="00190198">
        <w:rPr>
          <w:bCs/>
          <w:szCs w:val="22"/>
          <w:lang w:val="en-GB"/>
        </w:rPr>
        <w:t xml:space="preserve"> part</w:t>
      </w:r>
    </w:p>
    <w:p w14:paraId="6984DBA4" w14:textId="4B1CC91C" w:rsidR="0042100E" w:rsidRDefault="00DC498B" w:rsidP="00360BFB">
      <w:pPr>
        <w:rPr>
          <w:lang w:val="en-GB"/>
        </w:rPr>
      </w:pPr>
      <w:r w:rsidRPr="00190198">
        <w:rPr>
          <w:lang w:val="en-GB"/>
        </w:rPr>
        <w:t xml:space="preserve">using a coverage factor of </w:t>
      </w:r>
      <w:r w:rsidRPr="00190198">
        <w:rPr>
          <w:rFonts w:ascii="Times New Roman" w:hAnsi="Times New Roman" w:cs="Times New Roman"/>
          <w:i/>
          <w:lang w:val="en-GB"/>
        </w:rPr>
        <w:t>k</w:t>
      </w:r>
      <w:r w:rsidRPr="00190198">
        <w:rPr>
          <w:lang w:val="en-GB"/>
        </w:rPr>
        <w:t> = 2.</w:t>
      </w:r>
    </w:p>
    <w:p w14:paraId="5C160521" w14:textId="10C2629C" w:rsidR="003C3D64" w:rsidRPr="00190198" w:rsidRDefault="003C3D64" w:rsidP="003C3D64">
      <w:pPr>
        <w:tabs>
          <w:tab w:val="left" w:leader="dot" w:pos="4536"/>
          <w:tab w:val="right" w:leader="dot" w:pos="9071"/>
        </w:tabs>
        <w:spacing w:before="120" w:line="240" w:lineRule="atLeast"/>
        <w:jc w:val="left"/>
        <w:rPr>
          <w:szCs w:val="22"/>
          <w:lang w:val="en-GB"/>
        </w:rPr>
      </w:pPr>
      <w:r w:rsidRPr="00190198">
        <w:rPr>
          <w:b/>
          <w:bCs/>
          <w:szCs w:val="22"/>
          <w:lang w:val="en-GB"/>
        </w:rPr>
        <w:t>Table 4</w:t>
      </w:r>
      <w:r w:rsidRPr="00190198">
        <w:rPr>
          <w:b/>
          <w:bCs/>
          <w:szCs w:val="22"/>
          <w:lang w:val="en-GB" w:eastAsia="ko-KR"/>
        </w:rPr>
        <w:t>:</w:t>
      </w:r>
      <w:r w:rsidRPr="00190198">
        <w:rPr>
          <w:szCs w:val="22"/>
          <w:lang w:val="en-GB"/>
        </w:rPr>
        <w:t xml:space="preserve"> </w:t>
      </w:r>
      <w:r w:rsidRPr="00190198">
        <w:rPr>
          <w:szCs w:val="22"/>
          <w:lang w:val="en-GB" w:eastAsia="ko-KR"/>
        </w:rPr>
        <w:t>Example of m</w:t>
      </w:r>
      <w:r w:rsidRPr="00190198">
        <w:rPr>
          <w:szCs w:val="22"/>
          <w:lang w:val="en-GB"/>
        </w:rPr>
        <w:t>easurement uncertainty budget</w:t>
      </w:r>
    </w:p>
    <w:tbl>
      <w:tblPr>
        <w:tblW w:w="907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04"/>
        <w:gridCol w:w="1135"/>
        <w:gridCol w:w="1134"/>
        <w:gridCol w:w="993"/>
        <w:gridCol w:w="1134"/>
        <w:gridCol w:w="1275"/>
      </w:tblGrid>
      <w:tr w:rsidR="003C3D64" w:rsidRPr="00190198" w14:paraId="3464CEE9" w14:textId="77777777" w:rsidTr="00D34915">
        <w:tc>
          <w:tcPr>
            <w:tcW w:w="3404" w:type="dxa"/>
            <w:tcBorders>
              <w:top w:val="single" w:sz="12" w:space="0" w:color="auto"/>
              <w:left w:val="single" w:sz="12" w:space="0" w:color="auto"/>
              <w:bottom w:val="nil"/>
              <w:right w:val="single" w:sz="6" w:space="0" w:color="auto"/>
            </w:tcBorders>
            <w:hideMark/>
          </w:tcPr>
          <w:p w14:paraId="53CF97F5" w14:textId="77777777" w:rsidR="003C3D64" w:rsidRPr="00190198" w:rsidRDefault="003C3D64">
            <w:pPr>
              <w:rPr>
                <w:sz w:val="16"/>
                <w:szCs w:val="16"/>
                <w:lang w:val="en-GB"/>
              </w:rPr>
            </w:pPr>
            <w:r w:rsidRPr="00190198">
              <w:rPr>
                <w:sz w:val="16"/>
                <w:szCs w:val="16"/>
                <w:lang w:val="en-GB"/>
              </w:rPr>
              <w:t>Description</w:t>
            </w:r>
          </w:p>
        </w:tc>
        <w:tc>
          <w:tcPr>
            <w:tcW w:w="1135" w:type="dxa"/>
            <w:tcBorders>
              <w:top w:val="single" w:sz="12" w:space="0" w:color="auto"/>
              <w:left w:val="single" w:sz="6" w:space="0" w:color="auto"/>
              <w:bottom w:val="nil"/>
              <w:right w:val="single" w:sz="6" w:space="0" w:color="auto"/>
            </w:tcBorders>
            <w:hideMark/>
          </w:tcPr>
          <w:p w14:paraId="5E056B18" w14:textId="77777777" w:rsidR="003C3D64" w:rsidRPr="00190198" w:rsidRDefault="003C3D64">
            <w:pPr>
              <w:jc w:val="center"/>
              <w:rPr>
                <w:sz w:val="16"/>
                <w:szCs w:val="16"/>
                <w:lang w:val="en-GB"/>
              </w:rPr>
            </w:pPr>
            <w:r w:rsidRPr="00190198">
              <w:rPr>
                <w:sz w:val="16"/>
                <w:szCs w:val="16"/>
                <w:lang w:val="en-GB"/>
              </w:rPr>
              <w:t>Quantity</w:t>
            </w:r>
          </w:p>
        </w:tc>
        <w:tc>
          <w:tcPr>
            <w:tcW w:w="1134" w:type="dxa"/>
            <w:tcBorders>
              <w:top w:val="single" w:sz="12" w:space="0" w:color="auto"/>
              <w:left w:val="single" w:sz="6" w:space="0" w:color="auto"/>
              <w:bottom w:val="nil"/>
              <w:right w:val="single" w:sz="6" w:space="0" w:color="auto"/>
            </w:tcBorders>
            <w:hideMark/>
          </w:tcPr>
          <w:p w14:paraId="10EA5070" w14:textId="77777777" w:rsidR="003C3D64" w:rsidRPr="00190198" w:rsidRDefault="003C3D64">
            <w:pPr>
              <w:jc w:val="center"/>
              <w:rPr>
                <w:sz w:val="16"/>
                <w:szCs w:val="16"/>
                <w:lang w:val="en-GB"/>
              </w:rPr>
            </w:pPr>
            <w:r w:rsidRPr="00190198">
              <w:rPr>
                <w:sz w:val="16"/>
                <w:szCs w:val="16"/>
                <w:lang w:val="en-GB"/>
              </w:rPr>
              <w:t>Standard uncertainty</w:t>
            </w:r>
          </w:p>
        </w:tc>
        <w:tc>
          <w:tcPr>
            <w:tcW w:w="993" w:type="dxa"/>
            <w:tcBorders>
              <w:top w:val="single" w:sz="12" w:space="0" w:color="auto"/>
              <w:left w:val="single" w:sz="6" w:space="0" w:color="auto"/>
              <w:bottom w:val="nil"/>
              <w:right w:val="single" w:sz="6" w:space="0" w:color="auto"/>
            </w:tcBorders>
            <w:hideMark/>
          </w:tcPr>
          <w:p w14:paraId="081C8E91" w14:textId="77777777" w:rsidR="003C3D64" w:rsidRPr="00190198" w:rsidRDefault="003C3D64">
            <w:pPr>
              <w:jc w:val="center"/>
              <w:rPr>
                <w:sz w:val="16"/>
                <w:szCs w:val="16"/>
                <w:lang w:val="en-GB"/>
              </w:rPr>
            </w:pPr>
            <w:r w:rsidRPr="00190198">
              <w:rPr>
                <w:sz w:val="16"/>
                <w:szCs w:val="16"/>
                <w:lang w:val="en-GB"/>
              </w:rPr>
              <w:t>Sensitivity coefficient</w:t>
            </w:r>
          </w:p>
        </w:tc>
        <w:tc>
          <w:tcPr>
            <w:tcW w:w="1134" w:type="dxa"/>
            <w:tcBorders>
              <w:top w:val="single" w:sz="12" w:space="0" w:color="auto"/>
              <w:left w:val="single" w:sz="6" w:space="0" w:color="auto"/>
              <w:bottom w:val="nil"/>
              <w:right w:val="single" w:sz="6" w:space="0" w:color="auto"/>
            </w:tcBorders>
            <w:hideMark/>
          </w:tcPr>
          <w:p w14:paraId="4A95F4CA" w14:textId="77777777" w:rsidR="003C3D64" w:rsidRPr="00190198" w:rsidRDefault="003C3D64">
            <w:pPr>
              <w:jc w:val="center"/>
              <w:rPr>
                <w:sz w:val="16"/>
                <w:szCs w:val="16"/>
                <w:lang w:val="en-GB"/>
              </w:rPr>
            </w:pPr>
            <w:r w:rsidRPr="00190198">
              <w:rPr>
                <w:sz w:val="16"/>
                <w:szCs w:val="16"/>
                <w:lang w:val="en-GB"/>
              </w:rPr>
              <w:t>Standard uncertainty</w:t>
            </w:r>
          </w:p>
        </w:tc>
        <w:tc>
          <w:tcPr>
            <w:tcW w:w="1275" w:type="dxa"/>
            <w:tcBorders>
              <w:top w:val="single" w:sz="12" w:space="0" w:color="auto"/>
              <w:left w:val="single" w:sz="6" w:space="0" w:color="auto"/>
              <w:bottom w:val="nil"/>
              <w:right w:val="single" w:sz="12" w:space="0" w:color="auto"/>
            </w:tcBorders>
            <w:hideMark/>
          </w:tcPr>
          <w:p w14:paraId="75DCD859" w14:textId="77777777" w:rsidR="003C3D64" w:rsidRPr="00190198" w:rsidRDefault="003C3D64">
            <w:pPr>
              <w:jc w:val="center"/>
              <w:rPr>
                <w:sz w:val="16"/>
                <w:szCs w:val="16"/>
                <w:lang w:val="en-GB"/>
              </w:rPr>
            </w:pPr>
            <w:r w:rsidRPr="00190198">
              <w:rPr>
                <w:sz w:val="16"/>
                <w:szCs w:val="16"/>
                <w:lang w:val="en-GB"/>
              </w:rPr>
              <w:t>Standard uncertainty</w:t>
            </w:r>
          </w:p>
        </w:tc>
      </w:tr>
      <w:tr w:rsidR="003C3D64" w:rsidRPr="00190198" w14:paraId="6EBFC668" w14:textId="77777777" w:rsidTr="00D34915">
        <w:tc>
          <w:tcPr>
            <w:tcW w:w="3404" w:type="dxa"/>
            <w:tcBorders>
              <w:top w:val="nil"/>
              <w:left w:val="single" w:sz="12" w:space="0" w:color="auto"/>
              <w:bottom w:val="single" w:sz="12" w:space="0" w:color="auto"/>
              <w:right w:val="single" w:sz="6" w:space="0" w:color="auto"/>
            </w:tcBorders>
          </w:tcPr>
          <w:p w14:paraId="1A628ECC" w14:textId="77777777" w:rsidR="003C3D64" w:rsidRPr="00190198" w:rsidRDefault="003C3D64">
            <w:pPr>
              <w:rPr>
                <w:sz w:val="16"/>
                <w:szCs w:val="16"/>
                <w:lang w:val="en-GB"/>
              </w:rPr>
            </w:pPr>
          </w:p>
        </w:tc>
        <w:tc>
          <w:tcPr>
            <w:tcW w:w="1135" w:type="dxa"/>
            <w:tcBorders>
              <w:top w:val="nil"/>
              <w:left w:val="single" w:sz="6" w:space="0" w:color="auto"/>
              <w:bottom w:val="single" w:sz="12" w:space="0" w:color="auto"/>
              <w:right w:val="single" w:sz="6" w:space="0" w:color="auto"/>
            </w:tcBorders>
            <w:hideMark/>
          </w:tcPr>
          <w:p w14:paraId="520CECE5" w14:textId="77777777" w:rsidR="003C3D64" w:rsidRPr="00190198" w:rsidRDefault="003C3D64">
            <w:pPr>
              <w:jc w:val="center"/>
              <w:rPr>
                <w:sz w:val="16"/>
                <w:szCs w:val="16"/>
                <w:lang w:val="en-GB"/>
              </w:rPr>
            </w:pPr>
            <w:r w:rsidRPr="00190198">
              <w:rPr>
                <w:i/>
                <w:sz w:val="16"/>
                <w:szCs w:val="16"/>
                <w:lang w:val="en-GB"/>
              </w:rPr>
              <w:t>x</w:t>
            </w:r>
            <w:r w:rsidRPr="00190198">
              <w:rPr>
                <w:sz w:val="16"/>
                <w:szCs w:val="16"/>
                <w:vertAlign w:val="subscript"/>
                <w:lang w:val="en-GB"/>
              </w:rPr>
              <w:t>i</w:t>
            </w:r>
          </w:p>
        </w:tc>
        <w:tc>
          <w:tcPr>
            <w:tcW w:w="1134" w:type="dxa"/>
            <w:tcBorders>
              <w:top w:val="nil"/>
              <w:left w:val="single" w:sz="6" w:space="0" w:color="auto"/>
              <w:bottom w:val="single" w:sz="12" w:space="0" w:color="auto"/>
              <w:right w:val="single" w:sz="6" w:space="0" w:color="auto"/>
            </w:tcBorders>
            <w:hideMark/>
          </w:tcPr>
          <w:p w14:paraId="54E8DD4A" w14:textId="77777777" w:rsidR="003C3D64" w:rsidRPr="00190198" w:rsidRDefault="003C3D64">
            <w:pPr>
              <w:jc w:val="center"/>
              <w:rPr>
                <w:sz w:val="16"/>
                <w:szCs w:val="16"/>
                <w:lang w:val="en-GB"/>
              </w:rPr>
            </w:pPr>
            <w:r w:rsidRPr="00190198">
              <w:rPr>
                <w:i/>
                <w:sz w:val="16"/>
                <w:szCs w:val="16"/>
                <w:lang w:val="en-GB"/>
              </w:rPr>
              <w:t>u</w:t>
            </w:r>
            <w:r w:rsidRPr="00190198">
              <w:rPr>
                <w:sz w:val="16"/>
                <w:szCs w:val="16"/>
                <w:lang w:val="en-GB"/>
              </w:rPr>
              <w:t>(</w:t>
            </w:r>
            <w:r w:rsidRPr="00190198">
              <w:rPr>
                <w:i/>
                <w:sz w:val="16"/>
                <w:szCs w:val="16"/>
                <w:lang w:val="en-GB"/>
              </w:rPr>
              <w:t>x</w:t>
            </w:r>
            <w:r w:rsidRPr="00190198">
              <w:rPr>
                <w:sz w:val="16"/>
                <w:szCs w:val="16"/>
                <w:vertAlign w:val="subscript"/>
                <w:lang w:val="en-GB"/>
              </w:rPr>
              <w:t>i</w:t>
            </w:r>
            <w:r w:rsidRPr="00190198">
              <w:rPr>
                <w:sz w:val="16"/>
                <w:szCs w:val="16"/>
                <w:lang w:val="en-GB"/>
              </w:rPr>
              <w:t>)</w:t>
            </w:r>
          </w:p>
        </w:tc>
        <w:tc>
          <w:tcPr>
            <w:tcW w:w="993" w:type="dxa"/>
            <w:tcBorders>
              <w:top w:val="nil"/>
              <w:left w:val="single" w:sz="6" w:space="0" w:color="auto"/>
              <w:bottom w:val="single" w:sz="12" w:space="0" w:color="auto"/>
              <w:right w:val="single" w:sz="6" w:space="0" w:color="auto"/>
            </w:tcBorders>
            <w:hideMark/>
          </w:tcPr>
          <w:p w14:paraId="047E4065" w14:textId="77777777" w:rsidR="003C3D64" w:rsidRPr="00190198" w:rsidRDefault="003C3D64">
            <w:pPr>
              <w:jc w:val="center"/>
              <w:rPr>
                <w:sz w:val="16"/>
                <w:szCs w:val="16"/>
                <w:lang w:val="en-GB"/>
              </w:rPr>
            </w:pPr>
            <w:r w:rsidRPr="00190198">
              <w:rPr>
                <w:i/>
                <w:sz w:val="16"/>
                <w:szCs w:val="16"/>
                <w:lang w:val="en-GB"/>
              </w:rPr>
              <w:t>c</w:t>
            </w:r>
            <w:r w:rsidRPr="00190198">
              <w:rPr>
                <w:sz w:val="16"/>
                <w:szCs w:val="16"/>
                <w:vertAlign w:val="subscript"/>
                <w:lang w:val="en-GB"/>
              </w:rPr>
              <w:t>i</w:t>
            </w:r>
            <w:r w:rsidRPr="00190198">
              <w:rPr>
                <w:sz w:val="16"/>
                <w:szCs w:val="16"/>
                <w:lang w:val="en-GB"/>
              </w:rPr>
              <w:t xml:space="preserve"> = </w:t>
            </w:r>
            <w:r w:rsidRPr="00190198">
              <w:rPr>
                <w:sz w:val="16"/>
                <w:szCs w:val="16"/>
                <w:lang w:val="en-GB"/>
              </w:rPr>
              <w:sym w:font="Symbol" w:char="F0B6"/>
            </w:r>
            <w:r w:rsidRPr="00190198">
              <w:rPr>
                <w:i/>
                <w:sz w:val="16"/>
                <w:szCs w:val="16"/>
                <w:lang w:val="en-GB"/>
              </w:rPr>
              <w:t>l</w:t>
            </w:r>
            <w:r w:rsidRPr="00190198">
              <w:rPr>
                <w:sz w:val="16"/>
                <w:szCs w:val="16"/>
                <w:lang w:val="en-GB"/>
              </w:rPr>
              <w:t>/</w:t>
            </w:r>
            <w:r w:rsidRPr="00190198">
              <w:rPr>
                <w:sz w:val="16"/>
                <w:szCs w:val="16"/>
                <w:lang w:val="en-GB"/>
              </w:rPr>
              <w:sym w:font="Symbol" w:char="F0B6"/>
            </w:r>
            <w:r w:rsidRPr="00190198">
              <w:rPr>
                <w:i/>
                <w:sz w:val="16"/>
                <w:szCs w:val="16"/>
                <w:lang w:val="en-GB"/>
              </w:rPr>
              <w:t>x</w:t>
            </w:r>
            <w:r w:rsidRPr="00190198">
              <w:rPr>
                <w:sz w:val="16"/>
                <w:szCs w:val="16"/>
                <w:vertAlign w:val="subscript"/>
                <w:lang w:val="en-GB"/>
              </w:rPr>
              <w:t>i</w:t>
            </w:r>
          </w:p>
        </w:tc>
        <w:tc>
          <w:tcPr>
            <w:tcW w:w="1134" w:type="dxa"/>
            <w:tcBorders>
              <w:top w:val="nil"/>
              <w:left w:val="single" w:sz="6" w:space="0" w:color="auto"/>
              <w:bottom w:val="single" w:sz="12" w:space="0" w:color="auto"/>
              <w:right w:val="single" w:sz="6" w:space="0" w:color="auto"/>
            </w:tcBorders>
            <w:hideMark/>
          </w:tcPr>
          <w:p w14:paraId="7A79145E" w14:textId="77777777" w:rsidR="003C3D64" w:rsidRPr="00190198" w:rsidRDefault="003C3D64">
            <w:pPr>
              <w:jc w:val="center"/>
              <w:rPr>
                <w:sz w:val="16"/>
                <w:szCs w:val="16"/>
                <w:lang w:val="en-GB"/>
              </w:rPr>
            </w:pPr>
            <w:r w:rsidRPr="00190198">
              <w:rPr>
                <w:sz w:val="16"/>
                <w:szCs w:val="16"/>
                <w:lang w:val="en-GB"/>
              </w:rPr>
              <w:t>(Fixed component µm)</w:t>
            </w:r>
          </w:p>
        </w:tc>
        <w:tc>
          <w:tcPr>
            <w:tcW w:w="1275" w:type="dxa"/>
            <w:tcBorders>
              <w:top w:val="nil"/>
              <w:left w:val="single" w:sz="6" w:space="0" w:color="auto"/>
              <w:bottom w:val="single" w:sz="12" w:space="0" w:color="auto"/>
              <w:right w:val="single" w:sz="12" w:space="0" w:color="auto"/>
            </w:tcBorders>
            <w:hideMark/>
          </w:tcPr>
          <w:p w14:paraId="120F4466" w14:textId="77777777" w:rsidR="003C3D64" w:rsidRPr="00190198" w:rsidRDefault="003C3D64">
            <w:pPr>
              <w:jc w:val="center"/>
              <w:rPr>
                <w:sz w:val="16"/>
                <w:szCs w:val="16"/>
                <w:lang w:val="en-GB"/>
              </w:rPr>
            </w:pPr>
            <w:r w:rsidRPr="00190198">
              <w:rPr>
                <w:sz w:val="16"/>
                <w:szCs w:val="16"/>
                <w:lang w:val="en-GB"/>
              </w:rPr>
              <w:t xml:space="preserve">(proportional component µm  </w:t>
            </w:r>
            <w:r w:rsidRPr="00190198">
              <w:rPr>
                <w:i/>
                <w:sz w:val="16"/>
                <w:szCs w:val="16"/>
                <w:lang w:val="en-GB"/>
              </w:rPr>
              <w:t>L</w:t>
            </w:r>
            <w:r w:rsidRPr="00190198">
              <w:rPr>
                <w:sz w:val="16"/>
                <w:szCs w:val="16"/>
                <w:lang w:val="en-GB"/>
              </w:rPr>
              <w:t xml:space="preserve"> in m)</w:t>
            </w:r>
          </w:p>
        </w:tc>
      </w:tr>
      <w:tr w:rsidR="003C3D64" w:rsidRPr="00190198" w14:paraId="586A0453" w14:textId="77777777" w:rsidTr="00D34915">
        <w:trPr>
          <w:trHeight w:val="500"/>
        </w:trPr>
        <w:tc>
          <w:tcPr>
            <w:tcW w:w="3404" w:type="dxa"/>
            <w:tcBorders>
              <w:top w:val="nil"/>
              <w:left w:val="single" w:sz="12" w:space="0" w:color="auto"/>
              <w:bottom w:val="single" w:sz="6" w:space="0" w:color="auto"/>
              <w:right w:val="single" w:sz="6" w:space="0" w:color="auto"/>
            </w:tcBorders>
            <w:hideMark/>
          </w:tcPr>
          <w:p w14:paraId="4E2B7D50" w14:textId="6F9E3D38" w:rsidR="003C3D64" w:rsidRPr="00190198" w:rsidRDefault="008D36D4">
            <w:pPr>
              <w:rPr>
                <w:sz w:val="16"/>
                <w:szCs w:val="16"/>
                <w:lang w:val="en-GB"/>
              </w:rPr>
            </w:pPr>
            <w:r>
              <w:rPr>
                <w:sz w:val="16"/>
                <w:szCs w:val="16"/>
                <w:lang w:val="en-GB"/>
              </w:rPr>
              <w:t>Electric and mechanical noise of measurement instrument</w:t>
            </w:r>
          </w:p>
        </w:tc>
        <w:tc>
          <w:tcPr>
            <w:tcW w:w="1135" w:type="dxa"/>
            <w:tcBorders>
              <w:top w:val="nil"/>
              <w:left w:val="single" w:sz="6" w:space="0" w:color="auto"/>
              <w:bottom w:val="single" w:sz="6" w:space="0" w:color="auto"/>
              <w:right w:val="single" w:sz="6" w:space="0" w:color="auto"/>
            </w:tcBorders>
          </w:tcPr>
          <w:p w14:paraId="757357E0" w14:textId="77777777" w:rsidR="003C3D64" w:rsidRPr="00190198" w:rsidRDefault="003C3D64">
            <w:pPr>
              <w:rPr>
                <w:sz w:val="16"/>
                <w:szCs w:val="16"/>
                <w:lang w:val="en-GB"/>
              </w:rPr>
            </w:pPr>
          </w:p>
        </w:tc>
        <w:tc>
          <w:tcPr>
            <w:tcW w:w="1134" w:type="dxa"/>
            <w:tcBorders>
              <w:top w:val="nil"/>
              <w:left w:val="single" w:sz="6" w:space="0" w:color="auto"/>
              <w:bottom w:val="single" w:sz="6" w:space="0" w:color="auto"/>
              <w:right w:val="single" w:sz="6" w:space="0" w:color="auto"/>
            </w:tcBorders>
          </w:tcPr>
          <w:p w14:paraId="64FF2934" w14:textId="77777777" w:rsidR="003C3D64" w:rsidRPr="00190198" w:rsidRDefault="003C3D64">
            <w:pPr>
              <w:rPr>
                <w:sz w:val="16"/>
                <w:szCs w:val="16"/>
                <w:lang w:val="en-GB"/>
              </w:rPr>
            </w:pPr>
          </w:p>
        </w:tc>
        <w:tc>
          <w:tcPr>
            <w:tcW w:w="993" w:type="dxa"/>
            <w:tcBorders>
              <w:top w:val="nil"/>
              <w:left w:val="single" w:sz="6" w:space="0" w:color="auto"/>
              <w:bottom w:val="single" w:sz="6" w:space="0" w:color="auto"/>
              <w:right w:val="single" w:sz="6" w:space="0" w:color="auto"/>
            </w:tcBorders>
          </w:tcPr>
          <w:p w14:paraId="2BDCA169" w14:textId="77777777" w:rsidR="003C3D64" w:rsidRPr="00190198" w:rsidRDefault="003C3D64">
            <w:pPr>
              <w:rPr>
                <w:sz w:val="16"/>
                <w:szCs w:val="16"/>
                <w:lang w:val="en-GB"/>
              </w:rPr>
            </w:pPr>
          </w:p>
        </w:tc>
        <w:tc>
          <w:tcPr>
            <w:tcW w:w="1134" w:type="dxa"/>
            <w:tcBorders>
              <w:top w:val="nil"/>
              <w:left w:val="single" w:sz="6" w:space="0" w:color="auto"/>
              <w:bottom w:val="single" w:sz="6" w:space="0" w:color="auto"/>
              <w:right w:val="single" w:sz="6" w:space="0" w:color="auto"/>
            </w:tcBorders>
          </w:tcPr>
          <w:p w14:paraId="4A28F3BD" w14:textId="77777777" w:rsidR="003C3D64" w:rsidRPr="00190198" w:rsidRDefault="003C3D64">
            <w:pPr>
              <w:rPr>
                <w:sz w:val="16"/>
                <w:szCs w:val="16"/>
                <w:lang w:val="en-GB"/>
              </w:rPr>
            </w:pPr>
          </w:p>
        </w:tc>
        <w:tc>
          <w:tcPr>
            <w:tcW w:w="1275" w:type="dxa"/>
            <w:tcBorders>
              <w:top w:val="nil"/>
              <w:left w:val="single" w:sz="6" w:space="0" w:color="auto"/>
              <w:bottom w:val="single" w:sz="6" w:space="0" w:color="auto"/>
              <w:right w:val="single" w:sz="12" w:space="0" w:color="auto"/>
            </w:tcBorders>
          </w:tcPr>
          <w:p w14:paraId="201B7526" w14:textId="77777777" w:rsidR="003C3D64" w:rsidRPr="00190198" w:rsidRDefault="003C3D64">
            <w:pPr>
              <w:rPr>
                <w:sz w:val="16"/>
                <w:szCs w:val="16"/>
                <w:lang w:val="en-GB"/>
              </w:rPr>
            </w:pPr>
          </w:p>
        </w:tc>
      </w:tr>
      <w:tr w:rsidR="003C3D64" w:rsidRPr="00190198" w14:paraId="52903C56"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6401618F" w14:textId="78C217C8" w:rsidR="003C3D64" w:rsidRPr="00190198" w:rsidRDefault="008D36D4">
            <w:pPr>
              <w:rPr>
                <w:sz w:val="16"/>
                <w:szCs w:val="16"/>
                <w:lang w:val="en-GB"/>
              </w:rPr>
            </w:pPr>
            <w:r>
              <w:rPr>
                <w:sz w:val="16"/>
                <w:szCs w:val="16"/>
                <w:lang w:val="en-GB"/>
              </w:rPr>
              <w:t>Error of clousure</w:t>
            </w:r>
          </w:p>
        </w:tc>
        <w:tc>
          <w:tcPr>
            <w:tcW w:w="1135" w:type="dxa"/>
            <w:tcBorders>
              <w:top w:val="single" w:sz="6" w:space="0" w:color="auto"/>
              <w:left w:val="single" w:sz="6" w:space="0" w:color="auto"/>
              <w:bottom w:val="single" w:sz="6" w:space="0" w:color="auto"/>
              <w:right w:val="single" w:sz="6" w:space="0" w:color="auto"/>
            </w:tcBorders>
          </w:tcPr>
          <w:p w14:paraId="24089C78"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7967622F"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0E2EA6EE"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EC6A3B2"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1582B617" w14:textId="77777777" w:rsidR="003C3D64" w:rsidRPr="00190198" w:rsidRDefault="003C3D64">
            <w:pPr>
              <w:rPr>
                <w:sz w:val="16"/>
                <w:szCs w:val="16"/>
                <w:lang w:val="en-GB"/>
              </w:rPr>
            </w:pPr>
          </w:p>
        </w:tc>
      </w:tr>
      <w:tr w:rsidR="003C3D64" w:rsidRPr="00190198" w14:paraId="4E991AD1"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0267A0FD" w14:textId="4FF48DDC" w:rsidR="003C3D64" w:rsidRPr="00190198" w:rsidRDefault="008D36D4">
            <w:pPr>
              <w:rPr>
                <w:sz w:val="16"/>
                <w:szCs w:val="16"/>
                <w:lang w:val="en-GB"/>
              </w:rPr>
            </w:pPr>
            <w:r>
              <w:rPr>
                <w:sz w:val="16"/>
                <w:szCs w:val="16"/>
                <w:lang w:val="en-GB"/>
              </w:rPr>
              <w:t>Measurement repeatability</w:t>
            </w:r>
          </w:p>
        </w:tc>
        <w:tc>
          <w:tcPr>
            <w:tcW w:w="1135" w:type="dxa"/>
            <w:tcBorders>
              <w:top w:val="single" w:sz="6" w:space="0" w:color="auto"/>
              <w:left w:val="single" w:sz="6" w:space="0" w:color="auto"/>
              <w:bottom w:val="single" w:sz="6" w:space="0" w:color="auto"/>
              <w:right w:val="single" w:sz="6" w:space="0" w:color="auto"/>
            </w:tcBorders>
          </w:tcPr>
          <w:p w14:paraId="5C97B30B"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42BCA27C"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59B258B2"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A0182DA"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1705A509" w14:textId="77777777" w:rsidR="003C3D64" w:rsidRPr="00190198" w:rsidRDefault="003C3D64">
            <w:pPr>
              <w:rPr>
                <w:sz w:val="16"/>
                <w:szCs w:val="16"/>
                <w:lang w:val="en-GB"/>
              </w:rPr>
            </w:pPr>
          </w:p>
        </w:tc>
      </w:tr>
      <w:tr w:rsidR="003C3D64" w:rsidRPr="00190198" w14:paraId="2B536F21"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62A6A7E1" w14:textId="277FA109" w:rsidR="003C3D64" w:rsidRPr="00190198" w:rsidRDefault="008D36D4">
            <w:pPr>
              <w:rPr>
                <w:sz w:val="16"/>
                <w:szCs w:val="16"/>
                <w:lang w:val="en-GB"/>
              </w:rPr>
            </w:pPr>
            <w:r>
              <w:rPr>
                <w:sz w:val="16"/>
                <w:szCs w:val="16"/>
                <w:lang w:val="en-GB"/>
              </w:rPr>
              <w:t>Spindle run-out</w:t>
            </w:r>
          </w:p>
        </w:tc>
        <w:tc>
          <w:tcPr>
            <w:tcW w:w="1135" w:type="dxa"/>
            <w:tcBorders>
              <w:top w:val="single" w:sz="6" w:space="0" w:color="auto"/>
              <w:left w:val="single" w:sz="6" w:space="0" w:color="auto"/>
              <w:bottom w:val="single" w:sz="6" w:space="0" w:color="auto"/>
              <w:right w:val="single" w:sz="6" w:space="0" w:color="auto"/>
            </w:tcBorders>
          </w:tcPr>
          <w:p w14:paraId="2E83486B"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7D7DF700"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6479BBCD"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D268A9B"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3AA01BB3" w14:textId="77777777" w:rsidR="003C3D64" w:rsidRPr="00190198" w:rsidRDefault="003C3D64">
            <w:pPr>
              <w:rPr>
                <w:sz w:val="16"/>
                <w:szCs w:val="16"/>
                <w:lang w:val="en-GB"/>
              </w:rPr>
            </w:pPr>
          </w:p>
        </w:tc>
      </w:tr>
      <w:tr w:rsidR="003C3D64" w:rsidRPr="00190198" w14:paraId="0E0B0020"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3ADB1B4E" w14:textId="50A0EDB5" w:rsidR="003C3D64" w:rsidRPr="00190198" w:rsidRDefault="008D36D4">
            <w:pPr>
              <w:rPr>
                <w:sz w:val="16"/>
                <w:szCs w:val="16"/>
                <w:lang w:val="en-GB"/>
              </w:rPr>
            </w:pPr>
            <w:r>
              <w:rPr>
                <w:sz w:val="16"/>
                <w:szCs w:val="16"/>
                <w:lang w:val="en-GB"/>
              </w:rPr>
              <w:t>Selected instrument resolution</w:t>
            </w:r>
          </w:p>
        </w:tc>
        <w:tc>
          <w:tcPr>
            <w:tcW w:w="1135" w:type="dxa"/>
            <w:tcBorders>
              <w:top w:val="single" w:sz="6" w:space="0" w:color="auto"/>
              <w:left w:val="single" w:sz="6" w:space="0" w:color="auto"/>
              <w:bottom w:val="single" w:sz="6" w:space="0" w:color="auto"/>
              <w:right w:val="single" w:sz="6" w:space="0" w:color="auto"/>
            </w:tcBorders>
          </w:tcPr>
          <w:p w14:paraId="02B362C5"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36E0D477"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6A43BC36"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43985270"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459F5EF7" w14:textId="77777777" w:rsidR="003C3D64" w:rsidRPr="00190198" w:rsidRDefault="003C3D64">
            <w:pPr>
              <w:rPr>
                <w:sz w:val="16"/>
                <w:szCs w:val="16"/>
                <w:lang w:val="en-GB"/>
              </w:rPr>
            </w:pPr>
          </w:p>
        </w:tc>
      </w:tr>
      <w:tr w:rsidR="003C3D64" w:rsidRPr="00190198" w14:paraId="190EC86B"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31641D8A" w14:textId="05A98ABD" w:rsidR="003C3D64" w:rsidRPr="00190198" w:rsidRDefault="008D36D4" w:rsidP="00D34915">
            <w:pPr>
              <w:rPr>
                <w:sz w:val="16"/>
                <w:szCs w:val="16"/>
                <w:lang w:val="en-GB"/>
              </w:rPr>
            </w:pPr>
            <w:r>
              <w:rPr>
                <w:sz w:val="16"/>
                <w:szCs w:val="16"/>
                <w:lang w:val="en-GB"/>
              </w:rPr>
              <w:t>Inductive gauge amplification</w:t>
            </w:r>
          </w:p>
        </w:tc>
        <w:tc>
          <w:tcPr>
            <w:tcW w:w="1135" w:type="dxa"/>
            <w:tcBorders>
              <w:top w:val="single" w:sz="6" w:space="0" w:color="auto"/>
              <w:left w:val="single" w:sz="6" w:space="0" w:color="auto"/>
              <w:bottom w:val="single" w:sz="6" w:space="0" w:color="auto"/>
              <w:right w:val="single" w:sz="6" w:space="0" w:color="auto"/>
            </w:tcBorders>
          </w:tcPr>
          <w:p w14:paraId="68CDF41F"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401B43EB"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71097578"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12EC7A67"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152073FF" w14:textId="77777777" w:rsidR="003C3D64" w:rsidRPr="00190198" w:rsidRDefault="003C3D64">
            <w:pPr>
              <w:rPr>
                <w:sz w:val="16"/>
                <w:szCs w:val="16"/>
                <w:lang w:val="en-GB"/>
              </w:rPr>
            </w:pPr>
          </w:p>
        </w:tc>
      </w:tr>
      <w:tr w:rsidR="003C3D64" w:rsidRPr="00190198" w14:paraId="545A9ABD"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672B6EFC" w14:textId="57E5939E" w:rsidR="003C3D64" w:rsidRPr="00190198" w:rsidRDefault="008D36D4">
            <w:pPr>
              <w:rPr>
                <w:sz w:val="16"/>
                <w:szCs w:val="16"/>
                <w:lang w:val="en-GB"/>
              </w:rPr>
            </w:pPr>
            <w:r>
              <w:rPr>
                <w:sz w:val="16"/>
                <w:szCs w:val="16"/>
                <w:lang w:val="en-GB"/>
              </w:rPr>
              <w:t xml:space="preserve">Surface roughness of measured standard </w:t>
            </w:r>
            <w:r w:rsidR="003C3D64" w:rsidRPr="00190198">
              <w:rPr>
                <w:sz w:val="16"/>
                <w:szCs w:val="16"/>
                <w:lang w:val="en-GB"/>
              </w:rPr>
              <w:t xml:space="preserve"> </w:t>
            </w:r>
          </w:p>
        </w:tc>
        <w:tc>
          <w:tcPr>
            <w:tcW w:w="1135" w:type="dxa"/>
            <w:tcBorders>
              <w:top w:val="single" w:sz="6" w:space="0" w:color="auto"/>
              <w:left w:val="single" w:sz="6" w:space="0" w:color="auto"/>
              <w:bottom w:val="single" w:sz="6" w:space="0" w:color="auto"/>
              <w:right w:val="single" w:sz="6" w:space="0" w:color="auto"/>
            </w:tcBorders>
          </w:tcPr>
          <w:p w14:paraId="084DA9A5"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671C83B"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761B3621"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0CF880C2"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34705431" w14:textId="77777777" w:rsidR="003C3D64" w:rsidRPr="00190198" w:rsidRDefault="003C3D64">
            <w:pPr>
              <w:rPr>
                <w:sz w:val="16"/>
                <w:szCs w:val="16"/>
                <w:lang w:val="en-GB"/>
              </w:rPr>
            </w:pPr>
          </w:p>
        </w:tc>
      </w:tr>
      <w:tr w:rsidR="003C3D64" w:rsidRPr="00190198" w14:paraId="16733078"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32EF34AE" w14:textId="0B885891" w:rsidR="003C3D64" w:rsidRPr="00190198" w:rsidRDefault="008D36D4">
            <w:pPr>
              <w:rPr>
                <w:sz w:val="16"/>
                <w:szCs w:val="16"/>
                <w:lang w:val="en-GB"/>
              </w:rPr>
            </w:pPr>
            <w:r>
              <w:rPr>
                <w:sz w:val="16"/>
                <w:szCs w:val="16"/>
                <w:lang w:val="en-GB"/>
              </w:rPr>
              <w:t>Not precisely centered setting of measured stanrad and the displacement of measuring stylus tip</w:t>
            </w:r>
          </w:p>
        </w:tc>
        <w:tc>
          <w:tcPr>
            <w:tcW w:w="1135" w:type="dxa"/>
            <w:tcBorders>
              <w:top w:val="single" w:sz="6" w:space="0" w:color="auto"/>
              <w:left w:val="single" w:sz="6" w:space="0" w:color="auto"/>
              <w:bottom w:val="single" w:sz="6" w:space="0" w:color="auto"/>
              <w:right w:val="single" w:sz="6" w:space="0" w:color="auto"/>
            </w:tcBorders>
          </w:tcPr>
          <w:p w14:paraId="1DC4BFE5"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0026F03"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1869901F"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4CABA6C"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105E8DD0" w14:textId="77777777" w:rsidR="003C3D64" w:rsidRPr="00190198" w:rsidRDefault="003C3D64">
            <w:pPr>
              <w:rPr>
                <w:sz w:val="16"/>
                <w:szCs w:val="16"/>
                <w:lang w:val="en-GB"/>
              </w:rPr>
            </w:pPr>
          </w:p>
        </w:tc>
      </w:tr>
      <w:tr w:rsidR="003C3D64" w:rsidRPr="00190198" w14:paraId="715B1190" w14:textId="77777777" w:rsidTr="00D34915">
        <w:trPr>
          <w:trHeight w:val="500"/>
        </w:trPr>
        <w:tc>
          <w:tcPr>
            <w:tcW w:w="3404" w:type="dxa"/>
            <w:tcBorders>
              <w:top w:val="single" w:sz="6" w:space="0" w:color="auto"/>
              <w:left w:val="single" w:sz="12" w:space="0" w:color="auto"/>
              <w:bottom w:val="single" w:sz="6" w:space="0" w:color="auto"/>
              <w:right w:val="single" w:sz="6" w:space="0" w:color="auto"/>
            </w:tcBorders>
            <w:hideMark/>
          </w:tcPr>
          <w:p w14:paraId="5C171F25" w14:textId="49761276" w:rsidR="003C3D64" w:rsidRPr="00190198" w:rsidRDefault="008D36D4">
            <w:pPr>
              <w:rPr>
                <w:sz w:val="16"/>
                <w:szCs w:val="16"/>
                <w:lang w:val="en-GB"/>
              </w:rPr>
            </w:pPr>
            <w:r>
              <w:rPr>
                <w:sz w:val="16"/>
                <w:szCs w:val="16"/>
                <w:lang w:val="en-GB"/>
              </w:rPr>
              <w:t>Tilt of axis of calibrated standard</w:t>
            </w:r>
          </w:p>
        </w:tc>
        <w:tc>
          <w:tcPr>
            <w:tcW w:w="1135" w:type="dxa"/>
            <w:tcBorders>
              <w:top w:val="single" w:sz="6" w:space="0" w:color="auto"/>
              <w:left w:val="single" w:sz="6" w:space="0" w:color="auto"/>
              <w:bottom w:val="single" w:sz="6" w:space="0" w:color="auto"/>
              <w:right w:val="single" w:sz="6" w:space="0" w:color="auto"/>
            </w:tcBorders>
          </w:tcPr>
          <w:p w14:paraId="7E12A714"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2CA0A5E6" w14:textId="77777777" w:rsidR="003C3D64" w:rsidRPr="00190198" w:rsidRDefault="003C3D64">
            <w:pPr>
              <w:rPr>
                <w:sz w:val="16"/>
                <w:szCs w:val="16"/>
                <w:lang w:val="en-GB"/>
              </w:rPr>
            </w:pPr>
          </w:p>
        </w:tc>
        <w:tc>
          <w:tcPr>
            <w:tcW w:w="993" w:type="dxa"/>
            <w:tcBorders>
              <w:top w:val="single" w:sz="6" w:space="0" w:color="auto"/>
              <w:left w:val="single" w:sz="6" w:space="0" w:color="auto"/>
              <w:bottom w:val="single" w:sz="6" w:space="0" w:color="auto"/>
              <w:right w:val="single" w:sz="6" w:space="0" w:color="auto"/>
            </w:tcBorders>
          </w:tcPr>
          <w:p w14:paraId="2A09374E" w14:textId="77777777" w:rsidR="003C3D64" w:rsidRPr="00190198" w:rsidRDefault="003C3D64">
            <w:pPr>
              <w:rPr>
                <w:sz w:val="16"/>
                <w:szCs w:val="16"/>
                <w:lang w:val="en-GB"/>
              </w:rPr>
            </w:pPr>
          </w:p>
        </w:tc>
        <w:tc>
          <w:tcPr>
            <w:tcW w:w="1134" w:type="dxa"/>
            <w:tcBorders>
              <w:top w:val="single" w:sz="6" w:space="0" w:color="auto"/>
              <w:left w:val="single" w:sz="6" w:space="0" w:color="auto"/>
              <w:bottom w:val="single" w:sz="6" w:space="0" w:color="auto"/>
              <w:right w:val="single" w:sz="6" w:space="0" w:color="auto"/>
            </w:tcBorders>
          </w:tcPr>
          <w:p w14:paraId="3E9B8181" w14:textId="77777777" w:rsidR="003C3D64" w:rsidRPr="00190198" w:rsidRDefault="003C3D64">
            <w:pPr>
              <w:rPr>
                <w:sz w:val="16"/>
                <w:szCs w:val="16"/>
                <w:lang w:val="en-GB"/>
              </w:rPr>
            </w:pPr>
          </w:p>
        </w:tc>
        <w:tc>
          <w:tcPr>
            <w:tcW w:w="1275" w:type="dxa"/>
            <w:tcBorders>
              <w:top w:val="single" w:sz="6" w:space="0" w:color="auto"/>
              <w:left w:val="single" w:sz="6" w:space="0" w:color="auto"/>
              <w:bottom w:val="single" w:sz="6" w:space="0" w:color="auto"/>
              <w:right w:val="single" w:sz="12" w:space="0" w:color="auto"/>
            </w:tcBorders>
          </w:tcPr>
          <w:p w14:paraId="6EC4075B" w14:textId="77777777" w:rsidR="003C3D64" w:rsidRPr="00190198" w:rsidRDefault="003C3D64">
            <w:pPr>
              <w:rPr>
                <w:sz w:val="16"/>
                <w:szCs w:val="16"/>
                <w:lang w:val="en-GB"/>
              </w:rPr>
            </w:pPr>
          </w:p>
        </w:tc>
      </w:tr>
    </w:tbl>
    <w:p w14:paraId="1DA82DCF" w14:textId="721C6BAD" w:rsidR="00DC498B" w:rsidRPr="00190198" w:rsidRDefault="00D34915" w:rsidP="00C8571C">
      <w:pPr>
        <w:pStyle w:val="Nagwek1"/>
        <w:numPr>
          <w:ilvl w:val="1"/>
          <w:numId w:val="6"/>
        </w:numPr>
        <w:ind w:left="357" w:hanging="357"/>
        <w:rPr>
          <w:sz w:val="22"/>
          <w:szCs w:val="22"/>
        </w:rPr>
      </w:pPr>
      <w:bookmarkStart w:id="17" w:name="_Toc188960925"/>
      <w:r w:rsidRPr="00190198">
        <w:rPr>
          <w:sz w:val="22"/>
          <w:szCs w:val="22"/>
        </w:rPr>
        <w:t>Reference</w:t>
      </w:r>
      <w:r w:rsidR="008457AB" w:rsidRPr="00190198">
        <w:rPr>
          <w:sz w:val="22"/>
          <w:szCs w:val="22"/>
        </w:rPr>
        <w:t xml:space="preserve"> conditions</w:t>
      </w:r>
      <w:bookmarkEnd w:id="17"/>
    </w:p>
    <w:p w14:paraId="7B355FB1" w14:textId="67EA08DF" w:rsidR="00347F2D" w:rsidRPr="00347F2D" w:rsidRDefault="00DC498B" w:rsidP="00DC498B">
      <w:pPr>
        <w:jc w:val="left"/>
        <w:rPr>
          <w:rFonts w:asciiTheme="minorHAnsi" w:hAnsiTheme="minorHAnsi" w:cstheme="minorHAnsi"/>
          <w:szCs w:val="22"/>
        </w:rPr>
      </w:pPr>
      <w:r w:rsidRPr="00190198">
        <w:rPr>
          <w:rFonts w:asciiTheme="minorHAnsi" w:hAnsiTheme="minorHAnsi" w:cstheme="minorHAnsi"/>
          <w:szCs w:val="22"/>
          <w:lang w:val="en-GB"/>
        </w:rPr>
        <w:t xml:space="preserve">Measurement results should be reported for the reference temperature of 20 °C. </w:t>
      </w:r>
      <w:r w:rsidR="00AC5958">
        <w:rPr>
          <w:rFonts w:asciiTheme="minorHAnsi" w:hAnsiTheme="minorHAnsi" w:cstheme="minorHAnsi"/>
          <w:szCs w:val="22"/>
          <w:lang w:val="en-GB"/>
        </w:rPr>
        <w:t xml:space="preserve">For </w:t>
      </w:r>
      <w:r w:rsidR="00347F2D">
        <w:rPr>
          <w:rFonts w:asciiTheme="minorHAnsi" w:hAnsiTheme="minorHAnsi" w:cstheme="minorHAnsi"/>
          <w:szCs w:val="22"/>
          <w:lang w:val="en-GB"/>
        </w:rPr>
        <w:t xml:space="preserve">the </w:t>
      </w:r>
      <w:r w:rsidR="00AC5958">
        <w:rPr>
          <w:rFonts w:asciiTheme="minorHAnsi" w:hAnsiTheme="minorHAnsi" w:cstheme="minorHAnsi"/>
          <w:szCs w:val="22"/>
          <w:lang w:val="en-GB"/>
        </w:rPr>
        <w:t xml:space="preserve">spherical standard, </w:t>
      </w:r>
      <w:r w:rsidR="00347F2D">
        <w:rPr>
          <w:rFonts w:asciiTheme="minorHAnsi" w:hAnsiTheme="minorHAnsi" w:cstheme="minorHAnsi"/>
          <w:szCs w:val="22"/>
          <w:lang w:val="en-GB"/>
        </w:rPr>
        <w:t xml:space="preserve">the linear thermal expansion </w:t>
      </w:r>
      <w:r w:rsidR="00347F2D" w:rsidRPr="00347F2D">
        <w:rPr>
          <w:rFonts w:asciiTheme="minorHAnsi" w:hAnsiTheme="minorHAnsi" w:cstheme="minorHAnsi"/>
          <w:szCs w:val="22"/>
          <w:lang w:val="en-GB"/>
        </w:rPr>
        <w:t xml:space="preserve">coefficient </w:t>
      </w:r>
      <w:r w:rsidR="00347F2D">
        <w:rPr>
          <w:rFonts w:asciiTheme="minorHAnsi" w:hAnsiTheme="minorHAnsi" w:cstheme="minorHAnsi"/>
          <w:szCs w:val="22"/>
        </w:rPr>
        <w:t>(</w:t>
      </w:r>
      <w:r w:rsidR="007F44BF">
        <w:rPr>
          <w:rFonts w:asciiTheme="minorHAnsi" w:hAnsiTheme="minorHAnsi" w:cstheme="minorHAnsi"/>
          <w:szCs w:val="22"/>
        </w:rPr>
        <w:t xml:space="preserve">4.6 </w:t>
      </w:r>
      <w:r w:rsidR="007F44BF" w:rsidRPr="007F44BF">
        <w:rPr>
          <w:rFonts w:asciiTheme="minorHAnsi" w:hAnsiTheme="minorHAnsi" w:cstheme="minorHAnsi"/>
          <w:szCs w:val="22"/>
          <w:lang w:val="en-GB"/>
        </w:rPr>
        <w:t xml:space="preserve">± </w:t>
      </w:r>
      <w:r w:rsidR="007F44BF">
        <w:rPr>
          <w:rFonts w:asciiTheme="minorHAnsi" w:hAnsiTheme="minorHAnsi" w:cstheme="minorHAnsi"/>
          <w:szCs w:val="22"/>
          <w:lang w:val="en-GB"/>
        </w:rPr>
        <w:t>0.5)</w:t>
      </w:r>
      <w:r w:rsidR="00347F2D" w:rsidRPr="00347F2D">
        <w:rPr>
          <w:rFonts w:asciiTheme="minorHAnsi" w:hAnsiTheme="minorHAnsi" w:cstheme="minorHAnsi"/>
          <w:szCs w:val="22"/>
        </w:rPr>
        <w:t xml:space="preserve"> × 10⁻⁶ K⁻¹</w:t>
      </w:r>
      <w:r w:rsidR="00347F2D">
        <w:rPr>
          <w:rFonts w:asciiTheme="minorHAnsi" w:hAnsiTheme="minorHAnsi" w:cstheme="minorHAnsi"/>
          <w:szCs w:val="22"/>
        </w:rPr>
        <w:t xml:space="preserve"> should be used. For ring standard, the linear thermal expansion coefficient</w:t>
      </w:r>
      <w:r w:rsidR="007F44BF">
        <w:rPr>
          <w:rFonts w:asciiTheme="minorHAnsi" w:hAnsiTheme="minorHAnsi" w:cstheme="minorHAnsi"/>
          <w:szCs w:val="22"/>
        </w:rPr>
        <w:t xml:space="preserve"> (</w:t>
      </w:r>
      <w:r w:rsidR="007F44BF" w:rsidRPr="007F44BF">
        <w:rPr>
          <w:rFonts w:asciiTheme="minorHAnsi" w:hAnsiTheme="minorHAnsi" w:cstheme="minorHAnsi"/>
          <w:szCs w:val="22"/>
          <w:lang w:val="en-GB"/>
        </w:rPr>
        <w:t xml:space="preserve">10,1 ± 0.5) </w:t>
      </w:r>
      <w:r w:rsidR="007F44BF" w:rsidRPr="00347F2D">
        <w:rPr>
          <w:rFonts w:asciiTheme="minorHAnsi" w:hAnsiTheme="minorHAnsi" w:cstheme="minorHAnsi"/>
          <w:szCs w:val="22"/>
        </w:rPr>
        <w:t>× 10⁻⁶ K⁻¹</w:t>
      </w:r>
      <w:r w:rsidR="007F44BF">
        <w:rPr>
          <w:rFonts w:asciiTheme="minorHAnsi" w:hAnsiTheme="minorHAnsi" w:cstheme="minorHAnsi"/>
          <w:szCs w:val="22"/>
        </w:rPr>
        <w:t xml:space="preserve"> should be used.</w:t>
      </w:r>
    </w:p>
    <w:p w14:paraId="7D8B80C8" w14:textId="6DAC7F20" w:rsidR="00DC498B" w:rsidRPr="00190198" w:rsidRDefault="00DC498B" w:rsidP="00C8571C">
      <w:pPr>
        <w:pStyle w:val="Nagwek1"/>
        <w:numPr>
          <w:ilvl w:val="0"/>
          <w:numId w:val="6"/>
        </w:numPr>
        <w:ind w:left="357" w:hanging="357"/>
        <w:rPr>
          <w:sz w:val="22"/>
          <w:szCs w:val="22"/>
        </w:rPr>
      </w:pPr>
      <w:bookmarkStart w:id="18" w:name="_Toc188960926"/>
      <w:r w:rsidRPr="00190198">
        <w:rPr>
          <w:sz w:val="22"/>
          <w:szCs w:val="22"/>
        </w:rPr>
        <w:t>Reporting of results</w:t>
      </w:r>
      <w:bookmarkEnd w:id="18"/>
    </w:p>
    <w:p w14:paraId="6BD87BA1" w14:textId="46D185BE" w:rsidR="00DC498B" w:rsidRPr="00190198" w:rsidRDefault="00DC498B" w:rsidP="00C8571C">
      <w:pPr>
        <w:pStyle w:val="Nagwek1"/>
        <w:numPr>
          <w:ilvl w:val="1"/>
          <w:numId w:val="6"/>
        </w:numPr>
        <w:ind w:left="357" w:hanging="357"/>
        <w:rPr>
          <w:sz w:val="22"/>
          <w:szCs w:val="22"/>
        </w:rPr>
      </w:pPr>
      <w:bookmarkStart w:id="19" w:name="_Toc188960927"/>
      <w:r w:rsidRPr="00190198">
        <w:rPr>
          <w:sz w:val="22"/>
          <w:szCs w:val="22"/>
        </w:rPr>
        <w:t>Results and uncertainties</w:t>
      </w:r>
      <w:bookmarkEnd w:id="19"/>
    </w:p>
    <w:p w14:paraId="6B0BBCCE" w14:textId="55241883" w:rsidR="00DC498B" w:rsidRPr="00190198" w:rsidRDefault="00DC498B" w:rsidP="00DC498B">
      <w:pPr>
        <w:tabs>
          <w:tab w:val="right" w:pos="9356"/>
        </w:tabs>
        <w:ind w:right="4"/>
        <w:rPr>
          <w:lang w:val="en-GB"/>
        </w:rPr>
      </w:pPr>
      <w:r w:rsidRPr="00190198">
        <w:rPr>
          <w:lang w:val="en-GB"/>
        </w:rPr>
        <w:t>As soon as possible after measurements have been completed, the results should be communicated to the pilot laboratory</w:t>
      </w:r>
      <w:r w:rsidR="00B913AE">
        <w:rPr>
          <w:lang w:val="en-GB"/>
        </w:rPr>
        <w:t>,</w:t>
      </w:r>
      <w:r w:rsidRPr="00190198">
        <w:rPr>
          <w:lang w:val="en-GB"/>
        </w:rPr>
        <w:t xml:space="preserve"> </w:t>
      </w:r>
      <w:r w:rsidRPr="00B913AE">
        <w:rPr>
          <w:bCs/>
          <w:lang w:val="en-GB"/>
        </w:rPr>
        <w:t>within six weeks</w:t>
      </w:r>
      <w:r w:rsidRPr="00190198">
        <w:rPr>
          <w:b/>
          <w:lang w:val="en-GB"/>
        </w:rPr>
        <w:t xml:space="preserve"> </w:t>
      </w:r>
      <w:r w:rsidRPr="00190198">
        <w:rPr>
          <w:lang w:val="en-GB"/>
        </w:rPr>
        <w:t>at the latest.</w:t>
      </w:r>
    </w:p>
    <w:p w14:paraId="3C572BA3" w14:textId="21D9B5C6" w:rsidR="00DC498B" w:rsidRPr="00190198" w:rsidRDefault="00DC498B" w:rsidP="00DC498B">
      <w:pPr>
        <w:tabs>
          <w:tab w:val="right" w:pos="9356"/>
        </w:tabs>
        <w:ind w:right="4"/>
        <w:rPr>
          <w:lang w:val="en-GB"/>
        </w:rPr>
      </w:pPr>
      <w:r w:rsidRPr="00190198">
        <w:rPr>
          <w:lang w:val="en-GB"/>
        </w:rPr>
        <w:t>The measurement report forms in appendices</w:t>
      </w:r>
      <w:r w:rsidRPr="00190198">
        <w:rPr>
          <w:lang w:val="en-GB" w:eastAsia="ko-KR"/>
        </w:rPr>
        <w:t xml:space="preserve"> B &amp;</w:t>
      </w:r>
      <w:r w:rsidRPr="00190198">
        <w:rPr>
          <w:lang w:val="en-GB"/>
        </w:rPr>
        <w:t xml:space="preserve"> C of this document will be sent by e-mail (Word</w:t>
      </w:r>
      <w:r w:rsidR="00C27D39">
        <w:rPr>
          <w:lang w:val="en-GB"/>
        </w:rPr>
        <w:t>/Excel</w:t>
      </w:r>
      <w:r w:rsidRPr="00190198">
        <w:rPr>
          <w:lang w:val="en-GB"/>
        </w:rPr>
        <w:t xml:space="preserve"> document) to all participating laboratories. It would be </w:t>
      </w:r>
      <w:r w:rsidRPr="00096975">
        <w:rPr>
          <w:lang w:val="en-GB"/>
        </w:rPr>
        <w:t>appreciated if the report forms (in particular the results sheet) could be completed by computer and sent back electronically to the pilot. A</w:t>
      </w:r>
      <w:r w:rsidR="00C27D39" w:rsidRPr="00096975">
        <w:rPr>
          <w:lang w:val="en-GB"/>
        </w:rPr>
        <w:t>ppendix B with measurement</w:t>
      </w:r>
      <w:r w:rsidRPr="00096975">
        <w:rPr>
          <w:lang w:val="en-GB"/>
        </w:rPr>
        <w:t xml:space="preserve"> results </w:t>
      </w:r>
      <w:r w:rsidR="00C27D39" w:rsidRPr="00096975">
        <w:rPr>
          <w:lang w:val="en-GB"/>
        </w:rPr>
        <w:t xml:space="preserve">should </w:t>
      </w:r>
      <w:r w:rsidRPr="00096975">
        <w:rPr>
          <w:lang w:val="en-GB"/>
        </w:rPr>
        <w:t xml:space="preserve">be submitted in an Excel spreadsheet. </w:t>
      </w:r>
      <w:r w:rsidR="00C27D39" w:rsidRPr="00096975">
        <w:rPr>
          <w:lang w:val="en-GB"/>
        </w:rPr>
        <w:t xml:space="preserve"> T</w:t>
      </w:r>
      <w:r w:rsidRPr="00096975">
        <w:rPr>
          <w:lang w:val="en-GB"/>
        </w:rPr>
        <w:t>he signed report must also be sent in paper form by mail or electronically as a scanned pdf document</w:t>
      </w:r>
      <w:r w:rsidRPr="00190198">
        <w:rPr>
          <w:lang w:val="en-GB"/>
        </w:rPr>
        <w:t xml:space="preserve">. In case of any differences, the signed </w:t>
      </w:r>
      <w:r w:rsidRPr="00190198">
        <w:rPr>
          <w:lang w:val="en-GB"/>
        </w:rPr>
        <w:lastRenderedPageBreak/>
        <w:t>forms are considered to be the definitive version. Please observe the correct units to be used when reporting results.</w:t>
      </w:r>
    </w:p>
    <w:p w14:paraId="7731EF58" w14:textId="7B43B144" w:rsidR="00DC498B" w:rsidRPr="00B536C0" w:rsidRDefault="00DC498B" w:rsidP="00DC498B">
      <w:pPr>
        <w:tabs>
          <w:tab w:val="right" w:pos="9356"/>
        </w:tabs>
        <w:ind w:right="4"/>
        <w:rPr>
          <w:lang w:val="en-GB"/>
        </w:rPr>
      </w:pPr>
      <w:r w:rsidRPr="00190198">
        <w:rPr>
          <w:lang w:val="en-GB"/>
        </w:rPr>
        <w:t xml:space="preserve">Following receipt of all measurement </w:t>
      </w:r>
      <w:r w:rsidRPr="00B536C0">
        <w:rPr>
          <w:lang w:val="en-GB"/>
        </w:rPr>
        <w:t xml:space="preserve">reports from the participating laboratories, the pilot laboratory will analyse the results and prepare </w:t>
      </w:r>
      <w:r w:rsidR="00C27D39" w:rsidRPr="00B536C0">
        <w:rPr>
          <w:lang w:val="en-GB"/>
        </w:rPr>
        <w:t xml:space="preserve">a draft A0 check. </w:t>
      </w:r>
      <w:r w:rsidR="00C27D39" w:rsidRPr="00B536C0">
        <w:t xml:space="preserve">This </w:t>
      </w:r>
      <w:r w:rsidR="00505994" w:rsidRPr="00B536C0">
        <w:t>will be</w:t>
      </w:r>
      <w:r w:rsidR="00C27D39" w:rsidRPr="00B536C0">
        <w:t xml:space="preserve"> sent </w:t>
      </w:r>
      <w:r w:rsidR="00505994" w:rsidRPr="00B536C0">
        <w:t xml:space="preserve">to </w:t>
      </w:r>
      <w:r w:rsidR="00C27D39" w:rsidRPr="00B536C0">
        <w:t xml:space="preserve">each participant </w:t>
      </w:r>
      <w:r w:rsidR="00505994" w:rsidRPr="00B536C0">
        <w:t>to check</w:t>
      </w:r>
      <w:r w:rsidR="00C27D39" w:rsidRPr="00B536C0">
        <w:t xml:space="preserve"> their own results entered </w:t>
      </w:r>
      <w:r w:rsidR="00505994" w:rsidRPr="00B536C0">
        <w:t>to</w:t>
      </w:r>
      <w:r w:rsidR="00C27D39" w:rsidRPr="00B536C0">
        <w:t xml:space="preserve"> analysis sheet.</w:t>
      </w:r>
      <w:r w:rsidR="00C27D39" w:rsidRPr="00B536C0">
        <w:rPr>
          <w:lang w:val="en-GB"/>
        </w:rPr>
        <w:t xml:space="preserve"> </w:t>
      </w:r>
      <w:r w:rsidR="00505994" w:rsidRPr="00B536C0">
        <w:rPr>
          <w:lang w:val="en-GB"/>
        </w:rPr>
        <w:t>W</w:t>
      </w:r>
      <w:r w:rsidRPr="00B536C0">
        <w:rPr>
          <w:lang w:val="en-GB"/>
        </w:rPr>
        <w:t>ithin 3 months a first draft A.1 report on the comparison</w:t>
      </w:r>
      <w:r w:rsidR="00505994" w:rsidRPr="00B536C0">
        <w:rPr>
          <w:lang w:val="en-GB"/>
        </w:rPr>
        <w:t xml:space="preserve"> should be done</w:t>
      </w:r>
      <w:r w:rsidRPr="00B536C0">
        <w:rPr>
          <w:lang w:val="en-GB"/>
        </w:rPr>
        <w:t xml:space="preserve">. This will be circulated to the participants for comments, additions and corrections. </w:t>
      </w:r>
    </w:p>
    <w:p w14:paraId="046842C3" w14:textId="62613497" w:rsidR="00DC498B" w:rsidRPr="00190198" w:rsidRDefault="00DC498B" w:rsidP="00C8571C">
      <w:pPr>
        <w:pStyle w:val="Nagwek1"/>
        <w:numPr>
          <w:ilvl w:val="0"/>
          <w:numId w:val="6"/>
        </w:numPr>
        <w:ind w:left="357" w:hanging="357"/>
        <w:rPr>
          <w:sz w:val="22"/>
          <w:szCs w:val="22"/>
        </w:rPr>
      </w:pPr>
      <w:bookmarkStart w:id="20" w:name="_Toc188960928"/>
      <w:r w:rsidRPr="00190198">
        <w:rPr>
          <w:sz w:val="22"/>
          <w:szCs w:val="22"/>
        </w:rPr>
        <w:t>Analysis of results</w:t>
      </w:r>
      <w:bookmarkEnd w:id="20"/>
    </w:p>
    <w:p w14:paraId="2ED5E7AA" w14:textId="6750629C" w:rsidR="00DC498B" w:rsidRPr="00190198" w:rsidRDefault="00DC498B" w:rsidP="00C8571C">
      <w:pPr>
        <w:pStyle w:val="Nagwek1"/>
        <w:numPr>
          <w:ilvl w:val="1"/>
          <w:numId w:val="6"/>
        </w:numPr>
        <w:ind w:left="357" w:hanging="357"/>
        <w:rPr>
          <w:sz w:val="22"/>
          <w:szCs w:val="22"/>
        </w:rPr>
      </w:pPr>
      <w:bookmarkStart w:id="21" w:name="_Toc188960929"/>
      <w:r w:rsidRPr="00190198">
        <w:rPr>
          <w:sz w:val="22"/>
          <w:szCs w:val="22"/>
        </w:rPr>
        <w:t>Calculation of the reference value</w:t>
      </w:r>
      <w:bookmarkEnd w:id="21"/>
    </w:p>
    <w:p w14:paraId="5F2540C5" w14:textId="77777777" w:rsidR="00DC498B" w:rsidRPr="00190198" w:rsidRDefault="00DC498B" w:rsidP="00DC498B">
      <w:pPr>
        <w:tabs>
          <w:tab w:val="right" w:pos="9356"/>
        </w:tabs>
        <w:ind w:right="4"/>
        <w:rPr>
          <w:lang w:val="en-GB"/>
        </w:rPr>
      </w:pPr>
      <w:r w:rsidRPr="00190198">
        <w:rPr>
          <w:lang w:val="en-GB" w:eastAsia="de-DE"/>
        </w:rPr>
        <w:t>The key comparison reference value (KCRV) is calculated as the weighted mean of the participant results</w:t>
      </w:r>
      <w:r w:rsidRPr="00190198">
        <w:rPr>
          <w:lang w:val="en-GB"/>
        </w:rPr>
        <w:t xml:space="preserve">. The check for consistency of the comparison results with their associated uncertainties will be made based on Birge ratio, the degrees of equivalence for each laboratory and each </w:t>
      </w:r>
      <w:r w:rsidRPr="00190198">
        <w:rPr>
          <w:lang w:val="en-GB" w:eastAsia="ko-KR"/>
        </w:rPr>
        <w:t>interval</w:t>
      </w:r>
      <w:r w:rsidRPr="00190198">
        <w:rPr>
          <w:lang w:val="en-GB"/>
        </w:rPr>
        <w:t xml:space="preserve"> with respect to the KCRV will be evaluated using</w:t>
      </w:r>
      <w:r w:rsidRPr="00190198">
        <w:rPr>
          <w:rFonts w:ascii="Times New Roman" w:hAnsi="Times New Roman"/>
          <w:i/>
          <w:lang w:val="en-GB"/>
        </w:rPr>
        <w:t xml:space="preserve"> E</w:t>
      </w:r>
      <w:r w:rsidRPr="00190198">
        <w:rPr>
          <w:rFonts w:ascii="Times New Roman" w:hAnsi="Times New Roman"/>
          <w:vertAlign w:val="subscript"/>
          <w:lang w:val="en-GB"/>
        </w:rPr>
        <w:t>n</w:t>
      </w:r>
      <w:r w:rsidRPr="00190198">
        <w:rPr>
          <w:lang w:val="en-GB"/>
        </w:rPr>
        <w:t xml:space="preserve"> values, along the lines of the </w:t>
      </w:r>
      <w:r w:rsidRPr="00190198">
        <w:rPr>
          <w:i/>
          <w:lang w:val="en-GB"/>
        </w:rPr>
        <w:t>WG-MRA-KC-report-template</w:t>
      </w:r>
      <w:r w:rsidRPr="00190198">
        <w:rPr>
          <w:lang w:val="en-GB"/>
        </w:rPr>
        <w:t>. If necessary, artefact instability, correlations between institutes and the necessity for linking to another comparison will be taken into account.</w:t>
      </w:r>
    </w:p>
    <w:p w14:paraId="3332A181" w14:textId="6680816E" w:rsidR="00DC498B" w:rsidRPr="00190198" w:rsidRDefault="00DC498B" w:rsidP="00C8571C">
      <w:pPr>
        <w:pStyle w:val="Nagwek1"/>
        <w:numPr>
          <w:ilvl w:val="1"/>
          <w:numId w:val="6"/>
        </w:numPr>
        <w:ind w:left="357" w:hanging="357"/>
        <w:rPr>
          <w:sz w:val="22"/>
          <w:szCs w:val="22"/>
        </w:rPr>
      </w:pPr>
      <w:bookmarkStart w:id="22" w:name="_Toc188960930"/>
      <w:r w:rsidRPr="00190198">
        <w:rPr>
          <w:sz w:val="22"/>
          <w:szCs w:val="22"/>
        </w:rPr>
        <w:t>Artefact instability</w:t>
      </w:r>
      <w:bookmarkEnd w:id="22"/>
    </w:p>
    <w:p w14:paraId="3F712A5A" w14:textId="1F62ACB3" w:rsidR="00F67D57" w:rsidRPr="00190198" w:rsidRDefault="00675482" w:rsidP="00F67D57">
      <w:pPr>
        <w:rPr>
          <w:rFonts w:eastAsia="Times New Roman"/>
          <w:lang w:val="en-GB" w:eastAsia="de-DE"/>
        </w:rPr>
      </w:pPr>
      <w:r w:rsidRPr="00190198">
        <w:rPr>
          <w:lang w:val="en-GB"/>
        </w:rPr>
        <w:t xml:space="preserve">The instability of the standards must be determined in course of the comparison. </w:t>
      </w:r>
      <w:r w:rsidR="004E15E3" w:rsidRPr="00190198">
        <w:rPr>
          <w:lang w:val="en-GB" w:eastAsia="ko-KR"/>
        </w:rPr>
        <w:t>Because during the transportation and measurement the artefact may be deformed due to temperature change or shock</w:t>
      </w:r>
      <w:r w:rsidR="004E15E3" w:rsidRPr="00190198">
        <w:rPr>
          <w:lang w:val="en-GB" w:eastAsia="de-DE"/>
        </w:rPr>
        <w:t xml:space="preserve">, the instability of the </w:t>
      </w:r>
      <w:r w:rsidR="004E15E3" w:rsidRPr="00190198">
        <w:rPr>
          <w:lang w:val="en-GB" w:eastAsia="ko-KR"/>
        </w:rPr>
        <w:t>artefact</w:t>
      </w:r>
      <w:r w:rsidR="004E15E3" w:rsidRPr="00190198">
        <w:rPr>
          <w:lang w:val="en-GB" w:eastAsia="de-DE"/>
        </w:rPr>
        <w:t xml:space="preserve"> must be determined in course of the comparison. </w:t>
      </w:r>
      <w:r w:rsidRPr="00190198">
        <w:rPr>
          <w:lang w:val="en-GB"/>
        </w:rPr>
        <w:t xml:space="preserve">For this check the measurements of the pilot laboratory are used exclusively, not that of the other participants. </w:t>
      </w:r>
      <w:r w:rsidR="004E15E3" w:rsidRPr="00190198">
        <w:rPr>
          <w:lang w:val="en-GB"/>
        </w:rPr>
        <w:br/>
      </w:r>
      <w:r w:rsidR="00F67D57" w:rsidRPr="00190198">
        <w:rPr>
          <w:lang w:val="en-GB" w:eastAsia="de-DE"/>
        </w:rPr>
        <w:t>Using these data a linear regression line is fitted and the slope together with its uncertainty is determined.</w:t>
      </w:r>
    </w:p>
    <w:p w14:paraId="7372928A" w14:textId="77777777" w:rsidR="00F67D57" w:rsidRPr="00B536C0" w:rsidRDefault="00F67D57" w:rsidP="00F67D57">
      <w:pPr>
        <w:spacing w:after="0"/>
        <w:rPr>
          <w:lang w:val="en-GB"/>
        </w:rPr>
      </w:pPr>
      <w:r w:rsidRPr="00B536C0">
        <w:rPr>
          <w:lang w:val="en-GB"/>
        </w:rPr>
        <w:t>Three cases can be foreseen:</w:t>
      </w:r>
    </w:p>
    <w:p w14:paraId="0D6C9BCA" w14:textId="7B729BFE" w:rsidR="00F67D57" w:rsidRPr="00190198" w:rsidRDefault="00F67D57" w:rsidP="00F67D57">
      <w:pPr>
        <w:numPr>
          <w:ilvl w:val="0"/>
          <w:numId w:val="4"/>
        </w:numPr>
        <w:spacing w:after="0"/>
        <w:rPr>
          <w:lang w:val="en-GB" w:eastAsia="de-DE"/>
        </w:rPr>
      </w:pPr>
      <w:r w:rsidRPr="00190198">
        <w:rPr>
          <w:lang w:val="en-GB" w:eastAsia="de-DE"/>
        </w:rPr>
        <w:t xml:space="preserve">The linear regression line is an acceptable drift model and the absolute drift is smaller than its uncertainty. The </w:t>
      </w:r>
      <w:r w:rsidR="00632E2B">
        <w:rPr>
          <w:lang w:val="en-GB" w:eastAsia="de-DE"/>
        </w:rPr>
        <w:t>artefact</w:t>
      </w:r>
      <w:r w:rsidRPr="00190198">
        <w:rPr>
          <w:lang w:val="en-GB" w:eastAsia="de-DE"/>
        </w:rPr>
        <w:t xml:space="preserve"> is considered stable and no modification to the standard evaluation procedure will be applied. In fact the results of the pilot’s stability measurements will not influence the numerical results in any way. </w:t>
      </w:r>
    </w:p>
    <w:p w14:paraId="1AA15E57" w14:textId="0AA7ADF1" w:rsidR="00F67D57" w:rsidRPr="00190198" w:rsidRDefault="00F67D57" w:rsidP="00F67D57">
      <w:pPr>
        <w:numPr>
          <w:ilvl w:val="0"/>
          <w:numId w:val="4"/>
        </w:numPr>
        <w:spacing w:after="0"/>
        <w:rPr>
          <w:lang w:val="en-GB" w:eastAsia="de-DE"/>
        </w:rPr>
      </w:pPr>
      <w:r w:rsidRPr="00190198">
        <w:rPr>
          <w:lang w:val="en-GB" w:eastAsia="de-DE"/>
        </w:rPr>
        <w:t xml:space="preserve">The linear regression line is an acceptable drift model and the absolute drift is larger than its uncertainty, i.e. there is a significant drift for </w:t>
      </w:r>
      <w:r w:rsidR="00632E2B">
        <w:rPr>
          <w:lang w:val="en-GB" w:eastAsia="de-DE"/>
        </w:rPr>
        <w:t>roundness standard</w:t>
      </w:r>
      <w:r w:rsidRPr="00190198">
        <w:rPr>
          <w:lang w:val="en-GB" w:eastAsia="de-DE"/>
        </w:rPr>
        <w:t>. In this case an analysis similar to [</w:t>
      </w:r>
      <w:r w:rsidRPr="00B536C0">
        <w:rPr>
          <w:lang w:val="en-GB" w:eastAsia="de-DE"/>
        </w:rPr>
        <w:t xml:space="preserve">Nien F Z </w:t>
      </w:r>
      <w:r w:rsidRPr="00B536C0">
        <w:rPr>
          <w:i/>
          <w:lang w:val="en-GB" w:eastAsia="de-DE"/>
        </w:rPr>
        <w:t>et al.</w:t>
      </w:r>
      <w:r w:rsidRPr="00B536C0">
        <w:rPr>
          <w:lang w:val="en-GB" w:eastAsia="de-DE"/>
        </w:rPr>
        <w:t xml:space="preserve"> 2004,</w:t>
      </w:r>
      <w:r w:rsidRPr="00B536C0">
        <w:rPr>
          <w:lang w:val="en-GB"/>
        </w:rPr>
        <w:t xml:space="preserve"> </w:t>
      </w:r>
      <w:r w:rsidRPr="00B536C0">
        <w:rPr>
          <w:lang w:val="en-GB" w:eastAsia="de-DE"/>
        </w:rPr>
        <w:t xml:space="preserve">Statistical analysis of key comparisons with linear trends, </w:t>
      </w:r>
      <w:r w:rsidRPr="00B536C0">
        <w:rPr>
          <w:i/>
          <w:lang w:val="en-GB" w:eastAsia="de-DE"/>
        </w:rPr>
        <w:t>Metrologia</w:t>
      </w:r>
      <w:r w:rsidRPr="00B536C0">
        <w:rPr>
          <w:lang w:val="en-GB" w:eastAsia="de-DE"/>
        </w:rPr>
        <w:t xml:space="preserve"> </w:t>
      </w:r>
      <w:r w:rsidRPr="00B536C0">
        <w:rPr>
          <w:b/>
          <w:lang w:val="en-GB" w:eastAsia="de-DE"/>
        </w:rPr>
        <w:t>41,</w:t>
      </w:r>
      <w:r w:rsidRPr="00B536C0">
        <w:rPr>
          <w:lang w:val="en-GB" w:eastAsia="de-DE"/>
        </w:rPr>
        <w:t xml:space="preserve"> 231</w:t>
      </w:r>
      <w:r w:rsidRPr="00190198">
        <w:rPr>
          <w:lang w:val="en-GB" w:eastAsia="de-DE"/>
        </w:rPr>
        <w:t>] will be followed. The pilot influences the KCRV by the slope of the drift only, not by the measured absolute lengths.</w:t>
      </w:r>
    </w:p>
    <w:p w14:paraId="3BACEDCC" w14:textId="7CCFBF7C" w:rsidR="00F67D57" w:rsidRPr="00190198" w:rsidRDefault="00F67D57" w:rsidP="00F67D57">
      <w:pPr>
        <w:numPr>
          <w:ilvl w:val="0"/>
          <w:numId w:val="4"/>
        </w:numPr>
        <w:spacing w:after="0"/>
        <w:rPr>
          <w:lang w:val="en-GB" w:eastAsia="de-DE"/>
        </w:rPr>
      </w:pPr>
      <w:r w:rsidRPr="00190198">
        <w:rPr>
          <w:lang w:val="en-GB" w:eastAsia="de-DE"/>
        </w:rPr>
        <w:t xml:space="preserve">The data are not compatible at all with a linear drift, regarding the uncertainties of the pilot’s measurements. In this case the artefact is unpredictably unstable or the pilot has problems with its measurements. </w:t>
      </w:r>
      <w:r w:rsidR="00987C06">
        <w:t xml:space="preserve">All participants have to agree </w:t>
      </w:r>
      <w:r w:rsidR="00ED5D22">
        <w:t xml:space="preserve">on </w:t>
      </w:r>
      <w:r w:rsidR="00987C06">
        <w:t>a suitable approach</w:t>
      </w:r>
    </w:p>
    <w:p w14:paraId="386AA6D5" w14:textId="6F4695DA" w:rsidR="00DC498B" w:rsidRPr="00190198" w:rsidRDefault="00DC498B" w:rsidP="00C8571C">
      <w:pPr>
        <w:pStyle w:val="Nagwek1"/>
        <w:numPr>
          <w:ilvl w:val="1"/>
          <w:numId w:val="6"/>
        </w:numPr>
        <w:ind w:left="357" w:hanging="357"/>
        <w:rPr>
          <w:sz w:val="22"/>
          <w:szCs w:val="22"/>
        </w:rPr>
      </w:pPr>
      <w:bookmarkStart w:id="23" w:name="_Toc188960931"/>
      <w:r w:rsidRPr="00190198">
        <w:rPr>
          <w:sz w:val="22"/>
          <w:szCs w:val="22"/>
        </w:rPr>
        <w:t>Correlation between laboratories</w:t>
      </w:r>
      <w:bookmarkEnd w:id="23"/>
    </w:p>
    <w:p w14:paraId="7D7FB1E3" w14:textId="579C3852" w:rsidR="003166A3" w:rsidRPr="00190198" w:rsidRDefault="00F67D57" w:rsidP="00F12CF0">
      <w:pPr>
        <w:rPr>
          <w:lang w:val="en-GB"/>
        </w:rPr>
      </w:pPr>
      <w:r w:rsidRPr="00190198">
        <w:rPr>
          <w:lang w:val="en-GB"/>
        </w:rPr>
        <w:t>Since the topic of this project is the comparisons of primary measurements, correlations between the results of different NMIs are unlikely. A possible exception is the common use of the recommended thermal expansion coefficients (from table 3). A correlation will become relevant only when</w:t>
      </w:r>
      <w:r w:rsidR="00ED5D22">
        <w:rPr>
          <w:lang w:val="en-GB"/>
        </w:rPr>
        <w:t xml:space="preserve"> an</w:t>
      </w:r>
      <w:r w:rsidRPr="00190198">
        <w:rPr>
          <w:lang w:val="en-GB"/>
        </w:rPr>
        <w:t xml:space="preserve"> </w:t>
      </w:r>
      <w:r w:rsidR="00632E2B">
        <w:rPr>
          <w:lang w:val="en-GB"/>
        </w:rPr>
        <w:t>artefact</w:t>
      </w:r>
      <w:r w:rsidRPr="00190198">
        <w:rPr>
          <w:lang w:val="en-GB"/>
        </w:rPr>
        <w:t xml:space="preserve"> is calibrated far away from 20 °C which should not be the case. Thus correlations are normally not considered in the analysis of this comparison. However if a significant drift exist, correlations between institutes are introduced by the analysis proposed in section 7.2.</w:t>
      </w:r>
    </w:p>
    <w:p w14:paraId="6E8F1277" w14:textId="43D894DC" w:rsidR="00DC498B" w:rsidRPr="00190198" w:rsidRDefault="00DC498B" w:rsidP="00C8571C">
      <w:pPr>
        <w:pStyle w:val="Nagwek1"/>
        <w:numPr>
          <w:ilvl w:val="1"/>
          <w:numId w:val="6"/>
        </w:numPr>
        <w:ind w:left="357" w:hanging="357"/>
        <w:rPr>
          <w:sz w:val="22"/>
          <w:szCs w:val="22"/>
        </w:rPr>
      </w:pPr>
      <w:bookmarkStart w:id="24" w:name="_Toc188960932"/>
      <w:r w:rsidRPr="00190198">
        <w:rPr>
          <w:sz w:val="22"/>
          <w:szCs w:val="22"/>
        </w:rPr>
        <w:t>Linking to other comparisons</w:t>
      </w:r>
      <w:bookmarkEnd w:id="24"/>
    </w:p>
    <w:p w14:paraId="72540B33" w14:textId="5A283735" w:rsidR="003C07A8" w:rsidRPr="00190198" w:rsidRDefault="004E15E3" w:rsidP="00F12CF0">
      <w:pPr>
        <w:rPr>
          <w:lang w:val="en-GB"/>
        </w:rPr>
      </w:pPr>
      <w:r w:rsidRPr="00190198">
        <w:rPr>
          <w:lang w:val="en-GB"/>
        </w:rPr>
        <w:t>The CCL task group on linking CCL TG-L will set guidelines for linking this comparison to any other key comparison within CCL for the same measurement quantity.</w:t>
      </w:r>
    </w:p>
    <w:p w14:paraId="7F427231" w14:textId="5534D715" w:rsidR="00C8571C" w:rsidRPr="00190198" w:rsidRDefault="00C8571C" w:rsidP="00CC040F">
      <w:pPr>
        <w:pStyle w:val="Nagwek1"/>
        <w:numPr>
          <w:ilvl w:val="0"/>
          <w:numId w:val="6"/>
        </w:numPr>
        <w:ind w:left="357" w:hanging="357"/>
        <w:rPr>
          <w:sz w:val="22"/>
          <w:szCs w:val="22"/>
        </w:rPr>
      </w:pPr>
      <w:bookmarkStart w:id="25" w:name="_Toc188960933"/>
      <w:r w:rsidRPr="00190198">
        <w:rPr>
          <w:sz w:val="22"/>
          <w:szCs w:val="22"/>
        </w:rPr>
        <w:lastRenderedPageBreak/>
        <w:t>References</w:t>
      </w:r>
      <w:bookmarkEnd w:id="25"/>
      <w:r w:rsidRPr="00190198">
        <w:rPr>
          <w:sz w:val="22"/>
          <w:szCs w:val="22"/>
        </w:rPr>
        <w:t xml:space="preserve"> </w:t>
      </w:r>
    </w:p>
    <w:p w14:paraId="3323C334" w14:textId="38FC1263" w:rsidR="00C8571C" w:rsidRPr="00190198" w:rsidRDefault="00C8571C" w:rsidP="00CC040F">
      <w:pPr>
        <w:pStyle w:val="Stopka"/>
        <w:tabs>
          <w:tab w:val="clear" w:pos="4536"/>
          <w:tab w:val="clear" w:pos="9072"/>
        </w:tabs>
        <w:rPr>
          <w:rFonts w:cs="Calibri"/>
          <w:szCs w:val="22"/>
          <w:lang w:val="en-GB"/>
        </w:rPr>
      </w:pPr>
      <w:r w:rsidRPr="00190198">
        <w:rPr>
          <w:rFonts w:cs="Calibri"/>
          <w:szCs w:val="22"/>
          <w:lang w:val="en-GB"/>
        </w:rPr>
        <w:t xml:space="preserve">[1] EURAMET Guide on Comparisons – EURAMET Guide No. 4, Version </w:t>
      </w:r>
      <w:r w:rsidR="00CC040F" w:rsidRPr="00190198">
        <w:rPr>
          <w:rFonts w:cs="Calibri"/>
          <w:szCs w:val="22"/>
          <w:lang w:val="en-GB"/>
        </w:rPr>
        <w:t>2</w:t>
      </w:r>
      <w:r w:rsidRPr="00190198">
        <w:rPr>
          <w:rFonts w:cs="Calibri"/>
          <w:szCs w:val="22"/>
          <w:lang w:val="en-GB"/>
        </w:rPr>
        <w:t>.0 (0</w:t>
      </w:r>
      <w:r w:rsidR="00CC040F" w:rsidRPr="00190198">
        <w:rPr>
          <w:rFonts w:cs="Calibri"/>
          <w:szCs w:val="22"/>
          <w:lang w:val="en-GB"/>
        </w:rPr>
        <w:t>4</w:t>
      </w:r>
      <w:r w:rsidRPr="00190198">
        <w:rPr>
          <w:rFonts w:cs="Calibri"/>
          <w:szCs w:val="22"/>
          <w:lang w:val="en-GB"/>
        </w:rPr>
        <w:t>/20</w:t>
      </w:r>
      <w:r w:rsidR="00CC040F" w:rsidRPr="00190198">
        <w:rPr>
          <w:rFonts w:cs="Calibri"/>
          <w:szCs w:val="22"/>
          <w:lang w:val="en-GB"/>
        </w:rPr>
        <w:t>21</w:t>
      </w:r>
      <w:r w:rsidRPr="00190198">
        <w:rPr>
          <w:rFonts w:cs="Calibri"/>
          <w:szCs w:val="22"/>
          <w:lang w:val="en-GB"/>
        </w:rPr>
        <w:t>)</w:t>
      </w:r>
    </w:p>
    <w:p w14:paraId="7E04700A" w14:textId="77777777" w:rsidR="00C8571C" w:rsidRPr="00190198" w:rsidRDefault="00C8571C" w:rsidP="00CC040F">
      <w:pPr>
        <w:pStyle w:val="Stopka"/>
        <w:tabs>
          <w:tab w:val="clear" w:pos="4536"/>
          <w:tab w:val="clear" w:pos="9072"/>
        </w:tabs>
        <w:rPr>
          <w:rFonts w:cs="Calibri"/>
          <w:szCs w:val="22"/>
          <w:lang w:val="en-GB"/>
        </w:rPr>
      </w:pPr>
      <w:r w:rsidRPr="00190198">
        <w:rPr>
          <w:rFonts w:cs="Calibri"/>
          <w:szCs w:val="22"/>
          <w:lang w:val="en-GB"/>
        </w:rPr>
        <w:t>[2] CIPM MRA-D-05: Measurement comparisons in the CIPM MRA</w:t>
      </w:r>
    </w:p>
    <w:p w14:paraId="0B4B1AC9" w14:textId="77777777" w:rsidR="00C8571C" w:rsidRPr="00190198" w:rsidRDefault="00C8571C" w:rsidP="00CC040F">
      <w:pPr>
        <w:pStyle w:val="Stopka"/>
        <w:tabs>
          <w:tab w:val="clear" w:pos="4536"/>
          <w:tab w:val="clear" w:pos="9072"/>
        </w:tabs>
        <w:rPr>
          <w:rFonts w:cs="Calibri"/>
          <w:szCs w:val="22"/>
          <w:lang w:val="en-GB"/>
        </w:rPr>
      </w:pPr>
      <w:r w:rsidRPr="00190198">
        <w:rPr>
          <w:rFonts w:cs="Calibri"/>
          <w:szCs w:val="22"/>
          <w:lang w:val="en-GB"/>
        </w:rPr>
        <w:t xml:space="preserve">[3] JCGM 100 :2008 (GUM with minor corrections) </w:t>
      </w:r>
      <w:r w:rsidRPr="00190198">
        <w:rPr>
          <w:rFonts w:cs="Calibri"/>
          <w:iCs/>
          <w:szCs w:val="22"/>
          <w:lang w:val="en-GB"/>
        </w:rPr>
        <w:t>”</w:t>
      </w:r>
      <w:r w:rsidRPr="00190198">
        <w:rPr>
          <w:rFonts w:cs="Calibri"/>
          <w:szCs w:val="22"/>
          <w:lang w:val="en-GB"/>
        </w:rPr>
        <w:t>Evaluation of measurement data – Guide to the expression of uncertainty in measurement</w:t>
      </w:r>
      <w:r w:rsidRPr="00190198">
        <w:rPr>
          <w:rFonts w:cs="Calibri"/>
          <w:iCs/>
          <w:szCs w:val="22"/>
          <w:lang w:val="en-GB"/>
        </w:rPr>
        <w:t>”, Sept. 2008</w:t>
      </w:r>
    </w:p>
    <w:p w14:paraId="2AAE7636" w14:textId="77777777" w:rsidR="00CC040F" w:rsidRPr="00190198" w:rsidRDefault="00C8571C" w:rsidP="00CC040F">
      <w:pPr>
        <w:spacing w:after="0"/>
        <w:rPr>
          <w:rFonts w:cs="Calibri"/>
          <w:iCs/>
          <w:szCs w:val="22"/>
          <w:lang w:val="en-GB"/>
        </w:rPr>
      </w:pPr>
      <w:r w:rsidRPr="00190198">
        <w:rPr>
          <w:rFonts w:cs="Calibri"/>
          <w:iCs/>
          <w:szCs w:val="22"/>
          <w:lang w:val="en-GB"/>
        </w:rPr>
        <w:t>[4] EA-4/02 M:20</w:t>
      </w:r>
      <w:r w:rsidR="00CC040F" w:rsidRPr="00190198">
        <w:rPr>
          <w:rFonts w:cs="Calibri"/>
          <w:iCs/>
          <w:szCs w:val="22"/>
          <w:lang w:val="en-GB"/>
        </w:rPr>
        <w:t>21</w:t>
      </w:r>
      <w:r w:rsidRPr="00190198">
        <w:rPr>
          <w:rFonts w:cs="Calibri"/>
          <w:iCs/>
          <w:szCs w:val="22"/>
          <w:lang w:val="en-GB"/>
        </w:rPr>
        <w:t xml:space="preserve"> ”Expression of the uncertainty of measurement in calibration”, </w:t>
      </w:r>
      <w:r w:rsidR="00CC040F" w:rsidRPr="00190198">
        <w:rPr>
          <w:rFonts w:cs="Calibri"/>
          <w:iCs/>
          <w:szCs w:val="22"/>
          <w:lang w:val="en-GB"/>
        </w:rPr>
        <w:t>Nov</w:t>
      </w:r>
      <w:r w:rsidRPr="00190198">
        <w:rPr>
          <w:rFonts w:cs="Calibri"/>
          <w:iCs/>
          <w:szCs w:val="22"/>
          <w:lang w:val="en-GB"/>
        </w:rPr>
        <w:t>. 20</w:t>
      </w:r>
      <w:r w:rsidR="00CC040F" w:rsidRPr="00190198">
        <w:rPr>
          <w:rFonts w:cs="Calibri"/>
          <w:iCs/>
          <w:szCs w:val="22"/>
          <w:lang w:val="en-GB"/>
        </w:rPr>
        <w:t>21</w:t>
      </w:r>
    </w:p>
    <w:p w14:paraId="4CBEDAE2" w14:textId="5B6C34D3" w:rsidR="009B04BF" w:rsidRPr="0042100E" w:rsidRDefault="00C8571C" w:rsidP="0042100E">
      <w:pPr>
        <w:spacing w:after="0"/>
        <w:rPr>
          <w:rFonts w:cs="Calibri"/>
          <w:szCs w:val="22"/>
          <w:lang w:val="en-GB"/>
        </w:rPr>
      </w:pPr>
      <w:r w:rsidRPr="00190198">
        <w:rPr>
          <w:rFonts w:cs="Calibri"/>
          <w:szCs w:val="22"/>
          <w:lang w:val="en-GB"/>
        </w:rPr>
        <w:t>[</w:t>
      </w:r>
      <w:r w:rsidR="00A40CEE">
        <w:rPr>
          <w:rFonts w:cs="Calibri"/>
          <w:szCs w:val="22"/>
          <w:lang w:val="en-GB"/>
        </w:rPr>
        <w:t>5</w:t>
      </w:r>
      <w:r w:rsidRPr="00190198">
        <w:rPr>
          <w:rFonts w:cs="Calibri"/>
          <w:szCs w:val="22"/>
          <w:lang w:val="en-GB"/>
        </w:rPr>
        <w:t>] Cox M G 2002 The evaluation of key comparison data, Metrologia 39 589–95</w:t>
      </w:r>
    </w:p>
    <w:p w14:paraId="29484D81" w14:textId="08B34CD3" w:rsidR="009B04BF" w:rsidRPr="00190198" w:rsidRDefault="009B04BF" w:rsidP="00B52904">
      <w:pPr>
        <w:pStyle w:val="Nagwek1"/>
        <w:numPr>
          <w:ilvl w:val="0"/>
          <w:numId w:val="0"/>
        </w:numPr>
        <w:ind w:left="432" w:hanging="432"/>
        <w:rPr>
          <w:rFonts w:eastAsia="Malgun Gothic"/>
          <w:sz w:val="22"/>
          <w:szCs w:val="22"/>
        </w:rPr>
      </w:pPr>
      <w:bookmarkStart w:id="26" w:name="_Toc447201234"/>
      <w:bookmarkStart w:id="27" w:name="_Toc188960934"/>
      <w:bookmarkStart w:id="28" w:name="_Toc314578443"/>
      <w:r w:rsidRPr="00190198">
        <w:rPr>
          <w:rFonts w:eastAsia="Malgun Gothic"/>
          <w:sz w:val="22"/>
          <w:szCs w:val="22"/>
        </w:rPr>
        <w:t>Appendix A – Reception of Standards</w:t>
      </w:r>
      <w:bookmarkEnd w:id="26"/>
      <w:bookmarkEnd w:id="27"/>
    </w:p>
    <w:tbl>
      <w:tblPr>
        <w:tblW w:w="0" w:type="auto"/>
        <w:tblLook w:val="01E0" w:firstRow="1" w:lastRow="1" w:firstColumn="1" w:lastColumn="1" w:noHBand="0" w:noVBand="0"/>
      </w:tblPr>
      <w:tblGrid>
        <w:gridCol w:w="812"/>
        <w:gridCol w:w="8516"/>
      </w:tblGrid>
      <w:tr w:rsidR="009B04BF" w:rsidRPr="00190198" w14:paraId="7361F759" w14:textId="77777777" w:rsidTr="009B04BF">
        <w:tc>
          <w:tcPr>
            <w:tcW w:w="817" w:type="dxa"/>
            <w:tcBorders>
              <w:top w:val="nil"/>
              <w:left w:val="nil"/>
              <w:bottom w:val="nil"/>
              <w:right w:val="single" w:sz="4" w:space="0" w:color="auto"/>
            </w:tcBorders>
            <w:hideMark/>
          </w:tcPr>
          <w:p w14:paraId="55D20DB4" w14:textId="77777777" w:rsidR="009B04BF" w:rsidRPr="00190198" w:rsidRDefault="009B04BF">
            <w:pPr>
              <w:rPr>
                <w:lang w:val="en-GB" w:eastAsia="de-DE"/>
              </w:rPr>
            </w:pPr>
            <w:r w:rsidRPr="00190198">
              <w:rPr>
                <w:lang w:val="en-GB" w:eastAsia="de-DE"/>
              </w:rPr>
              <w:t>To:</w:t>
            </w:r>
          </w:p>
        </w:tc>
        <w:tc>
          <w:tcPr>
            <w:tcW w:w="8930" w:type="dxa"/>
            <w:tcBorders>
              <w:top w:val="single" w:sz="4" w:space="0" w:color="auto"/>
              <w:left w:val="single" w:sz="4" w:space="0" w:color="auto"/>
              <w:bottom w:val="single" w:sz="4" w:space="0" w:color="auto"/>
              <w:right w:val="single" w:sz="4" w:space="0" w:color="auto"/>
            </w:tcBorders>
            <w:hideMark/>
          </w:tcPr>
          <w:p w14:paraId="766482EF" w14:textId="37589168" w:rsidR="009B04BF" w:rsidRPr="00190198" w:rsidRDefault="00C14C30">
            <w:pPr>
              <w:rPr>
                <w:lang w:val="en-GB" w:eastAsia="de-DE"/>
              </w:rPr>
            </w:pPr>
            <w:r w:rsidRPr="00190198">
              <w:rPr>
                <w:lang w:val="en-GB" w:eastAsia="ko-KR"/>
              </w:rPr>
              <w:t>Dariusz Czułek</w:t>
            </w:r>
          </w:p>
          <w:p w14:paraId="09001525" w14:textId="02EDCDBF" w:rsidR="009B04BF" w:rsidRPr="00190198" w:rsidRDefault="00C14C30">
            <w:pPr>
              <w:rPr>
                <w:lang w:val="en-GB" w:eastAsia="de-DE"/>
              </w:rPr>
            </w:pPr>
            <w:r w:rsidRPr="00190198">
              <w:rPr>
                <w:lang w:val="en-GB" w:eastAsia="ko-KR"/>
              </w:rPr>
              <w:t>Central Office of Measures</w:t>
            </w:r>
            <w:r w:rsidR="009B04BF" w:rsidRPr="00190198">
              <w:rPr>
                <w:lang w:val="en-GB" w:eastAsia="ko-KR"/>
              </w:rPr>
              <w:t xml:space="preserve">, </w:t>
            </w:r>
            <w:r w:rsidRPr="00190198">
              <w:rPr>
                <w:lang w:val="en-GB" w:eastAsia="ko-KR"/>
              </w:rPr>
              <w:t>Elektoralna 2</w:t>
            </w:r>
            <w:r w:rsidR="009B04BF" w:rsidRPr="00190198">
              <w:rPr>
                <w:lang w:val="en-GB" w:eastAsia="ko-KR"/>
              </w:rPr>
              <w:t xml:space="preserve">, </w:t>
            </w:r>
            <w:r w:rsidRPr="00190198">
              <w:rPr>
                <w:lang w:val="en-GB" w:eastAsia="ko-KR"/>
              </w:rPr>
              <w:t>Warsaw</w:t>
            </w:r>
            <w:r w:rsidR="009B04BF" w:rsidRPr="00190198">
              <w:rPr>
                <w:lang w:val="en-GB" w:eastAsia="ko-KR"/>
              </w:rPr>
              <w:t xml:space="preserve">, </w:t>
            </w:r>
            <w:r w:rsidRPr="00190198">
              <w:rPr>
                <w:lang w:val="en-GB" w:eastAsia="ko-KR"/>
              </w:rPr>
              <w:t>00-139</w:t>
            </w:r>
            <w:r w:rsidR="009B04BF" w:rsidRPr="00190198">
              <w:rPr>
                <w:lang w:val="en-GB" w:eastAsia="ko-KR"/>
              </w:rPr>
              <w:t xml:space="preserve">, </w:t>
            </w:r>
            <w:r w:rsidRPr="00190198">
              <w:rPr>
                <w:lang w:val="en-GB" w:eastAsia="ko-KR"/>
              </w:rPr>
              <w:t>Poland</w:t>
            </w:r>
          </w:p>
          <w:p w14:paraId="6337EBE7" w14:textId="0F1654F0" w:rsidR="009B04BF" w:rsidRPr="00B536C0" w:rsidRDefault="009B04BF">
            <w:pPr>
              <w:rPr>
                <w:lang w:val="en-GB" w:eastAsia="de-DE"/>
              </w:rPr>
            </w:pPr>
            <w:r w:rsidRPr="00B536C0">
              <w:rPr>
                <w:lang w:val="en-GB" w:eastAsia="de-DE"/>
              </w:rPr>
              <w:t xml:space="preserve">Fax: </w:t>
            </w:r>
            <w:r w:rsidRPr="00B536C0">
              <w:rPr>
                <w:lang w:val="en-GB" w:eastAsia="de-DE"/>
              </w:rPr>
              <w:tab/>
            </w:r>
            <w:r w:rsidRPr="00B536C0">
              <w:rPr>
                <w:lang w:val="en-GB" w:eastAsia="ko-KR"/>
              </w:rPr>
              <w:t>+4</w:t>
            </w:r>
            <w:r w:rsidR="00C14C30" w:rsidRPr="00B536C0">
              <w:rPr>
                <w:lang w:val="en-GB" w:eastAsia="ko-KR"/>
              </w:rPr>
              <w:t>8</w:t>
            </w:r>
            <w:r w:rsidRPr="00B536C0">
              <w:rPr>
                <w:lang w:val="en-GB" w:eastAsia="ko-KR"/>
              </w:rPr>
              <w:t xml:space="preserve"> 2</w:t>
            </w:r>
            <w:r w:rsidR="00C14C30" w:rsidRPr="00B536C0">
              <w:rPr>
                <w:lang w:val="en-GB" w:eastAsia="ko-KR"/>
              </w:rPr>
              <w:t>2 581 95 43</w:t>
            </w:r>
            <w:r w:rsidRPr="00B536C0">
              <w:rPr>
                <w:lang w:val="en-GB" w:eastAsia="ko-KR"/>
              </w:rPr>
              <w:tab/>
            </w:r>
            <w:r w:rsidRPr="00B536C0">
              <w:rPr>
                <w:lang w:val="en-GB" w:eastAsia="de-DE"/>
              </w:rPr>
              <w:tab/>
              <w:t>e-mail:</w:t>
            </w:r>
            <w:r w:rsidR="00C14C30" w:rsidRPr="00B536C0">
              <w:rPr>
                <w:lang w:val="en-GB" w:eastAsia="de-DE"/>
              </w:rPr>
              <w:t xml:space="preserve"> </w:t>
            </w:r>
            <w:hyperlink r:id="rId12" w:history="1">
              <w:r w:rsidR="00C14C30" w:rsidRPr="00B536C0">
                <w:rPr>
                  <w:rStyle w:val="Hipercze"/>
                  <w:lang w:val="en-GB" w:eastAsia="de-DE"/>
                </w:rPr>
                <w:t>length@gum.gov.pl</w:t>
              </w:r>
            </w:hyperlink>
            <w:r w:rsidR="00C14C30" w:rsidRPr="00B536C0">
              <w:rPr>
                <w:lang w:val="en-GB" w:eastAsia="de-DE"/>
              </w:rPr>
              <w:t xml:space="preserve"> </w:t>
            </w:r>
          </w:p>
        </w:tc>
      </w:tr>
      <w:tr w:rsidR="009B04BF" w:rsidRPr="00190198" w14:paraId="4B923F1C" w14:textId="77777777" w:rsidTr="009B04BF">
        <w:tc>
          <w:tcPr>
            <w:tcW w:w="817" w:type="dxa"/>
            <w:tcBorders>
              <w:top w:val="nil"/>
              <w:left w:val="nil"/>
              <w:bottom w:val="nil"/>
              <w:right w:val="single" w:sz="4" w:space="0" w:color="auto"/>
            </w:tcBorders>
            <w:hideMark/>
          </w:tcPr>
          <w:p w14:paraId="105B09E5" w14:textId="77777777" w:rsidR="009B04BF" w:rsidRPr="00190198" w:rsidRDefault="009B04BF">
            <w:pPr>
              <w:spacing w:before="120" w:line="360" w:lineRule="auto"/>
              <w:rPr>
                <w:lang w:val="en-GB" w:eastAsia="de-DE"/>
              </w:rPr>
            </w:pPr>
            <w:r w:rsidRPr="00190198">
              <w:rPr>
                <w:lang w:val="en-GB" w:eastAsia="de-DE"/>
              </w:rPr>
              <w:t>From:</w:t>
            </w:r>
          </w:p>
        </w:tc>
        <w:tc>
          <w:tcPr>
            <w:tcW w:w="8930" w:type="dxa"/>
            <w:tcBorders>
              <w:top w:val="single" w:sz="4" w:space="0" w:color="auto"/>
              <w:left w:val="single" w:sz="4" w:space="0" w:color="auto"/>
              <w:bottom w:val="single" w:sz="4" w:space="0" w:color="auto"/>
              <w:right w:val="single" w:sz="4" w:space="0" w:color="auto"/>
            </w:tcBorders>
          </w:tcPr>
          <w:p w14:paraId="0F9753B6" w14:textId="77777777" w:rsidR="009B04BF" w:rsidRPr="00190198" w:rsidRDefault="009B04BF">
            <w:pPr>
              <w:spacing w:before="120" w:line="360" w:lineRule="auto"/>
              <w:rPr>
                <w:lang w:val="en-GB" w:eastAsia="de-DE"/>
              </w:rPr>
            </w:pPr>
            <w:r w:rsidRPr="00190198">
              <w:rPr>
                <w:lang w:val="en-GB" w:eastAsia="de-DE"/>
              </w:rPr>
              <w:t xml:space="preserve">NMI: </w:t>
            </w:r>
            <w:r w:rsidRPr="00190198">
              <w:rPr>
                <w:lang w:val="en-GB" w:eastAsia="de-DE"/>
              </w:rPr>
              <w:tab/>
            </w:r>
            <w:r w:rsidRPr="00190198">
              <w:rPr>
                <w:lang w:val="en-GB" w:eastAsia="de-DE"/>
              </w:rPr>
              <w:tab/>
              <w:t>………………………………</w:t>
            </w:r>
            <w:r w:rsidRPr="00190198">
              <w:rPr>
                <w:lang w:val="en-GB" w:eastAsia="de-DE"/>
              </w:rPr>
              <w:tab/>
            </w:r>
            <w:r w:rsidRPr="00190198">
              <w:rPr>
                <w:lang w:val="en-GB" w:eastAsia="de-DE"/>
              </w:rPr>
              <w:tab/>
              <w:t>Name:</w:t>
            </w:r>
            <w:r w:rsidRPr="00190198">
              <w:rPr>
                <w:lang w:val="en-GB" w:eastAsia="de-DE"/>
              </w:rPr>
              <w:tab/>
              <w:t>………………………………</w:t>
            </w:r>
          </w:p>
          <w:p w14:paraId="3B732577" w14:textId="77777777" w:rsidR="009B04BF" w:rsidRPr="00190198" w:rsidRDefault="009B04BF">
            <w:pPr>
              <w:spacing w:before="120" w:line="360" w:lineRule="auto"/>
              <w:rPr>
                <w:lang w:val="en-GB" w:eastAsia="de-DE"/>
              </w:rPr>
            </w:pPr>
          </w:p>
          <w:p w14:paraId="4B71107C" w14:textId="77777777" w:rsidR="009B04BF" w:rsidRPr="00190198" w:rsidRDefault="009B04BF">
            <w:pPr>
              <w:spacing w:before="120" w:line="360" w:lineRule="auto"/>
              <w:rPr>
                <w:lang w:val="en-GB" w:eastAsia="de-DE"/>
              </w:rPr>
            </w:pPr>
            <w:r w:rsidRPr="00190198">
              <w:rPr>
                <w:lang w:val="en-GB" w:eastAsia="de-DE"/>
              </w:rPr>
              <w:t>Signature:</w:t>
            </w:r>
            <w:r w:rsidRPr="00190198">
              <w:rPr>
                <w:lang w:val="en-GB" w:eastAsia="de-DE"/>
              </w:rPr>
              <w:tab/>
              <w:t>………………………………</w:t>
            </w:r>
            <w:r w:rsidRPr="00190198">
              <w:rPr>
                <w:lang w:val="en-GB" w:eastAsia="de-DE"/>
              </w:rPr>
              <w:tab/>
            </w:r>
            <w:r w:rsidRPr="00190198">
              <w:rPr>
                <w:lang w:val="en-GB" w:eastAsia="de-DE"/>
              </w:rPr>
              <w:tab/>
              <w:t>Date:</w:t>
            </w:r>
            <w:r w:rsidRPr="00190198">
              <w:rPr>
                <w:lang w:val="en-GB" w:eastAsia="de-DE"/>
              </w:rPr>
              <w:tab/>
              <w:t>………………………………</w:t>
            </w:r>
          </w:p>
        </w:tc>
      </w:tr>
    </w:tbl>
    <w:p w14:paraId="448BFBC0" w14:textId="77777777" w:rsidR="009B04BF" w:rsidRPr="00190198" w:rsidRDefault="009B04BF" w:rsidP="009B04BF">
      <w:pPr>
        <w:rPr>
          <w:lang w:val="en-GB" w:eastAsia="de-DE"/>
        </w:rPr>
      </w:pPr>
    </w:p>
    <w:p w14:paraId="4945C1C7" w14:textId="77777777" w:rsidR="009B04BF" w:rsidRPr="00190198" w:rsidRDefault="009B04BF" w:rsidP="009B04BF">
      <w:pPr>
        <w:rPr>
          <w:lang w:val="en-GB" w:eastAsia="de-DE"/>
        </w:rPr>
      </w:pPr>
    </w:p>
    <w:p w14:paraId="1427BEA5" w14:textId="13EA0615" w:rsidR="009B04BF" w:rsidRPr="00190198" w:rsidRDefault="009B04BF" w:rsidP="009B04BF">
      <w:pPr>
        <w:rPr>
          <w:lang w:val="en-GB" w:eastAsia="de-DE"/>
        </w:rPr>
      </w:pPr>
      <w:r w:rsidRPr="00190198">
        <w:rPr>
          <w:lang w:val="en-GB" w:eastAsia="de-DE"/>
        </w:rPr>
        <w:t xml:space="preserve">We confirm having </w:t>
      </w:r>
      <w:r w:rsidR="006809C0">
        <w:rPr>
          <w:lang w:val="en-GB" w:eastAsia="de-DE"/>
        </w:rPr>
        <w:t xml:space="preserve">the roundness standard </w:t>
      </w:r>
      <w:r w:rsidRPr="00190198">
        <w:rPr>
          <w:lang w:val="en-GB" w:eastAsia="de-DE"/>
        </w:rPr>
        <w:t xml:space="preserve">for the </w:t>
      </w:r>
      <w:r w:rsidRPr="00190198">
        <w:rPr>
          <w:lang w:val="en-GB" w:eastAsia="ko-KR"/>
        </w:rPr>
        <w:t>EURAMET</w:t>
      </w:r>
      <w:r w:rsidRPr="00190198">
        <w:rPr>
          <w:lang w:val="en-GB" w:eastAsia="de-DE"/>
        </w:rPr>
        <w:t xml:space="preserve"> comparison on the date given above.</w:t>
      </w:r>
    </w:p>
    <w:p w14:paraId="53C98121" w14:textId="77777777" w:rsidR="009B04BF" w:rsidRPr="00190198" w:rsidRDefault="009B04BF" w:rsidP="009B04BF">
      <w:pPr>
        <w:spacing w:before="100" w:beforeAutospacing="1" w:after="100" w:afterAutospacing="1"/>
        <w:rPr>
          <w:lang w:val="en-GB" w:eastAsia="de-DE"/>
        </w:rPr>
      </w:pPr>
      <w:r w:rsidRPr="00190198">
        <w:rPr>
          <w:lang w:val="en-GB" w:eastAsia="de-DE"/>
        </w:rPr>
        <w:t>After a visual inspection:</w:t>
      </w:r>
    </w:p>
    <w:p w14:paraId="746BA9E0" w14:textId="77777777" w:rsidR="009B04BF" w:rsidRPr="00190198" w:rsidRDefault="009B04BF" w:rsidP="009B04BF">
      <w:pPr>
        <w:spacing w:before="100" w:beforeAutospacing="1" w:after="100" w:afterAutospacing="1"/>
        <w:ind w:left="567" w:hanging="567"/>
        <w:rPr>
          <w:lang w:val="en-GB" w:eastAsia="de-DE"/>
        </w:rPr>
      </w:pPr>
      <w:r w:rsidRPr="00B536C0">
        <w:rPr>
          <w:lang w:val="en-GB"/>
        </w:rPr>
        <w:fldChar w:fldCharType="begin">
          <w:ffData>
            <w:name w:val="Kontrollkästchen1"/>
            <w:enabled/>
            <w:calcOnExit w:val="0"/>
            <w:checkBox>
              <w:sizeAuto/>
              <w:default w:val="0"/>
              <w:checked w:val="0"/>
            </w:checkBox>
          </w:ffData>
        </w:fldChar>
      </w:r>
      <w:r w:rsidRPr="00190198">
        <w:rPr>
          <w:lang w:val="en-GB"/>
        </w:rPr>
        <w:instrText xml:space="preserve"> FORMCHECKBOX </w:instrText>
      </w:r>
      <w:r w:rsidRPr="00B536C0">
        <w:rPr>
          <w:lang w:val="en-GB"/>
        </w:rPr>
      </w:r>
      <w:r w:rsidRPr="00B536C0">
        <w:rPr>
          <w:lang w:val="en-GB"/>
        </w:rPr>
        <w:fldChar w:fldCharType="separate"/>
      </w:r>
      <w:r w:rsidRPr="00B536C0">
        <w:rPr>
          <w:lang w:val="en-GB"/>
        </w:rPr>
        <w:fldChar w:fldCharType="end"/>
      </w:r>
      <w:r w:rsidRPr="00190198">
        <w:rPr>
          <w:lang w:val="en-GB"/>
        </w:rPr>
        <w:tab/>
      </w:r>
      <w:r w:rsidRPr="00190198">
        <w:rPr>
          <w:lang w:val="en-GB" w:eastAsia="de-DE"/>
        </w:rPr>
        <w:t>There is no apparent damage</w:t>
      </w:r>
      <w:r w:rsidRPr="00190198">
        <w:rPr>
          <w:lang w:val="en-GB" w:eastAsia="ko-KR"/>
        </w:rPr>
        <w:t>.</w:t>
      </w:r>
    </w:p>
    <w:p w14:paraId="6160DCE0" w14:textId="7F07405B" w:rsidR="009B04BF" w:rsidRPr="00190198" w:rsidRDefault="009B04BF" w:rsidP="009B04BF">
      <w:pPr>
        <w:spacing w:before="100" w:beforeAutospacing="1" w:after="100" w:afterAutospacing="1"/>
        <w:ind w:left="567" w:hanging="567"/>
        <w:rPr>
          <w:lang w:val="en-GB" w:eastAsia="ko-KR"/>
        </w:rPr>
      </w:pPr>
      <w:r w:rsidRPr="00B536C0">
        <w:rPr>
          <w:lang w:val="en-GB"/>
        </w:rPr>
        <w:fldChar w:fldCharType="begin">
          <w:ffData>
            <w:name w:val="Kontrollkästchen1"/>
            <w:enabled/>
            <w:calcOnExit w:val="0"/>
            <w:checkBox>
              <w:sizeAuto/>
              <w:default w:val="0"/>
              <w:checked w:val="0"/>
            </w:checkBox>
          </w:ffData>
        </w:fldChar>
      </w:r>
      <w:r w:rsidRPr="00190198">
        <w:rPr>
          <w:lang w:val="en-GB"/>
        </w:rPr>
        <w:instrText xml:space="preserve"> FORMCHECKBOX </w:instrText>
      </w:r>
      <w:r w:rsidRPr="00B536C0">
        <w:rPr>
          <w:lang w:val="en-GB"/>
        </w:rPr>
      </w:r>
      <w:r w:rsidRPr="00B536C0">
        <w:rPr>
          <w:lang w:val="en-GB"/>
        </w:rPr>
        <w:fldChar w:fldCharType="separate"/>
      </w:r>
      <w:r w:rsidRPr="00B536C0">
        <w:rPr>
          <w:lang w:val="en-GB"/>
        </w:rPr>
        <w:fldChar w:fldCharType="end"/>
      </w:r>
      <w:r w:rsidRPr="00190198">
        <w:rPr>
          <w:lang w:val="en-GB"/>
        </w:rPr>
        <w:tab/>
      </w:r>
      <w:r w:rsidRPr="00190198">
        <w:rPr>
          <w:lang w:val="en-GB" w:eastAsia="de-DE"/>
        </w:rPr>
        <w:t xml:space="preserve">There are </w:t>
      </w:r>
      <w:r w:rsidRPr="00190198">
        <w:rPr>
          <w:lang w:val="en-GB" w:eastAsia="ko-KR"/>
        </w:rPr>
        <w:t xml:space="preserve">scratches </w:t>
      </w:r>
      <w:r w:rsidR="006809C0">
        <w:rPr>
          <w:lang w:val="en-GB" w:eastAsia="ko-KR"/>
        </w:rPr>
        <w:t xml:space="preserve">on the sphere </w:t>
      </w:r>
      <w:r w:rsidRPr="00190198">
        <w:rPr>
          <w:lang w:val="en-GB" w:eastAsia="ko-KR"/>
        </w:rPr>
        <w:t xml:space="preserve">surface. Please indicate the location and, if possible, include photos. </w:t>
      </w:r>
    </w:p>
    <w:p w14:paraId="6EC51A8B" w14:textId="558B1A3D" w:rsidR="00987C06" w:rsidRDefault="009B04BF" w:rsidP="00F813EB">
      <w:pPr>
        <w:spacing w:before="100" w:beforeAutospacing="1" w:after="100" w:afterAutospacing="1"/>
        <w:ind w:left="567" w:hanging="567"/>
        <w:rPr>
          <w:lang w:val="en-GB" w:eastAsia="ko-KR"/>
        </w:rPr>
      </w:pPr>
      <w:r w:rsidRPr="00B536C0">
        <w:rPr>
          <w:lang w:val="en-GB"/>
        </w:rPr>
        <w:fldChar w:fldCharType="begin">
          <w:ffData>
            <w:name w:val="Kontrollkästchen1"/>
            <w:enabled/>
            <w:calcOnExit w:val="0"/>
            <w:checkBox>
              <w:sizeAuto/>
              <w:default w:val="0"/>
              <w:checked w:val="0"/>
            </w:checkBox>
          </w:ffData>
        </w:fldChar>
      </w:r>
      <w:r w:rsidRPr="00190198">
        <w:rPr>
          <w:lang w:val="en-GB"/>
        </w:rPr>
        <w:instrText xml:space="preserve"> FORMCHECKBOX </w:instrText>
      </w:r>
      <w:r w:rsidRPr="00B536C0">
        <w:rPr>
          <w:lang w:val="en-GB"/>
        </w:rPr>
      </w:r>
      <w:r w:rsidRPr="00B536C0">
        <w:rPr>
          <w:lang w:val="en-GB"/>
        </w:rPr>
        <w:fldChar w:fldCharType="separate"/>
      </w:r>
      <w:r w:rsidRPr="00B536C0">
        <w:rPr>
          <w:lang w:val="en-GB"/>
        </w:rPr>
        <w:fldChar w:fldCharType="end"/>
      </w:r>
      <w:r w:rsidRPr="00190198">
        <w:rPr>
          <w:lang w:val="en-GB"/>
        </w:rPr>
        <w:tab/>
      </w:r>
      <w:r w:rsidRPr="00190198">
        <w:rPr>
          <w:lang w:val="en-GB" w:eastAsia="de-DE"/>
        </w:rPr>
        <w:t xml:space="preserve">There </w:t>
      </w:r>
      <w:r w:rsidR="00F813EB" w:rsidRPr="00190198">
        <w:rPr>
          <w:lang w:val="en-GB" w:eastAsia="de-DE"/>
        </w:rPr>
        <w:t xml:space="preserve">is severe damage of </w:t>
      </w:r>
      <w:r w:rsidRPr="00190198">
        <w:rPr>
          <w:lang w:val="en-GB" w:eastAsia="ko-KR"/>
        </w:rPr>
        <w:t xml:space="preserve">the </w:t>
      </w:r>
      <w:r w:rsidR="006809C0">
        <w:rPr>
          <w:lang w:val="en-GB" w:eastAsia="ko-KR"/>
        </w:rPr>
        <w:t>sphere</w:t>
      </w:r>
      <w:r w:rsidR="00F813EB" w:rsidRPr="00190198">
        <w:rPr>
          <w:lang w:val="en-GB" w:eastAsia="ko-KR"/>
        </w:rPr>
        <w:t>. Please indicate it and, if possible, include photos.</w:t>
      </w:r>
    </w:p>
    <w:p w14:paraId="36653FFD" w14:textId="0B385FA5" w:rsidR="00987C06" w:rsidRDefault="00987C06" w:rsidP="00987C06">
      <w:pPr>
        <w:rPr>
          <w:lang w:val="en-GB" w:eastAsia="de-DE"/>
        </w:rPr>
      </w:pPr>
      <w:r>
        <w:rPr>
          <w:lang w:val="en-GB" w:eastAsia="de-DE"/>
        </w:rPr>
        <w:t>We confirm having received ATA carnet (only to labs outside EU)</w:t>
      </w:r>
    </w:p>
    <w:p w14:paraId="53A85CFB" w14:textId="5F7FAAF3" w:rsidR="00987C06" w:rsidRPr="00190198" w:rsidRDefault="00987C06" w:rsidP="00987C06">
      <w:pPr>
        <w:spacing w:before="100" w:beforeAutospacing="1" w:after="100" w:afterAutospacing="1"/>
        <w:ind w:left="567" w:hanging="567"/>
        <w:rPr>
          <w:lang w:val="en-GB" w:eastAsia="de-DE"/>
        </w:rPr>
      </w:pPr>
      <w:r w:rsidRPr="009A2AC4">
        <w:rPr>
          <w:lang w:val="en-GB"/>
        </w:rPr>
        <w:fldChar w:fldCharType="begin">
          <w:ffData>
            <w:name w:val="Kontrollkästchen1"/>
            <w:enabled/>
            <w:calcOnExit w:val="0"/>
            <w:checkBox>
              <w:sizeAuto/>
              <w:default w:val="0"/>
              <w:checked w:val="0"/>
            </w:checkBox>
          </w:ffData>
        </w:fldChar>
      </w:r>
      <w:r w:rsidRPr="00190198">
        <w:rPr>
          <w:lang w:val="en-GB"/>
        </w:rPr>
        <w:instrText xml:space="preserve"> FORMCHECKBOX </w:instrText>
      </w:r>
      <w:r w:rsidRPr="009A2AC4">
        <w:rPr>
          <w:lang w:val="en-GB"/>
        </w:rPr>
      </w:r>
      <w:r w:rsidRPr="009A2AC4">
        <w:rPr>
          <w:lang w:val="en-GB"/>
        </w:rPr>
        <w:fldChar w:fldCharType="separate"/>
      </w:r>
      <w:r w:rsidRPr="009A2AC4">
        <w:rPr>
          <w:lang w:val="en-GB"/>
        </w:rPr>
        <w:fldChar w:fldCharType="end"/>
      </w:r>
      <w:r w:rsidRPr="00190198">
        <w:rPr>
          <w:lang w:val="en-GB"/>
        </w:rPr>
        <w:tab/>
      </w:r>
      <w:r>
        <w:rPr>
          <w:lang w:val="en-GB" w:eastAsia="de-DE"/>
        </w:rPr>
        <w:t>Yes</w:t>
      </w:r>
    </w:p>
    <w:p w14:paraId="3E7236F1" w14:textId="756DA2B5" w:rsidR="009B04BF" w:rsidRDefault="00987C06" w:rsidP="00B536C0">
      <w:pPr>
        <w:rPr>
          <w:lang w:val="en-GB" w:eastAsia="de-DE"/>
        </w:rPr>
      </w:pPr>
      <w:r w:rsidRPr="009A2AC4">
        <w:rPr>
          <w:lang w:val="en-GB"/>
        </w:rPr>
        <w:fldChar w:fldCharType="begin">
          <w:ffData>
            <w:name w:val="Kontrollkästchen1"/>
            <w:enabled/>
            <w:calcOnExit w:val="0"/>
            <w:checkBox>
              <w:sizeAuto/>
              <w:default w:val="0"/>
              <w:checked w:val="0"/>
            </w:checkBox>
          </w:ffData>
        </w:fldChar>
      </w:r>
      <w:r w:rsidRPr="00190198">
        <w:rPr>
          <w:lang w:val="en-GB"/>
        </w:rPr>
        <w:instrText xml:space="preserve"> FORMCHECKBOX </w:instrText>
      </w:r>
      <w:r w:rsidRPr="009A2AC4">
        <w:rPr>
          <w:lang w:val="en-GB"/>
        </w:rPr>
      </w:r>
      <w:r w:rsidRPr="009A2AC4">
        <w:rPr>
          <w:lang w:val="en-GB"/>
        </w:rPr>
        <w:fldChar w:fldCharType="separate"/>
      </w:r>
      <w:r w:rsidRPr="009A2AC4">
        <w:rPr>
          <w:lang w:val="en-GB"/>
        </w:rPr>
        <w:fldChar w:fldCharType="end"/>
      </w:r>
      <w:r>
        <w:rPr>
          <w:lang w:val="en-GB"/>
        </w:rPr>
        <w:t xml:space="preserve">      </w:t>
      </w:r>
      <w:r>
        <w:rPr>
          <w:lang w:val="en-GB" w:eastAsia="de-DE"/>
        </w:rPr>
        <w:t>No</w:t>
      </w:r>
      <w:bookmarkEnd w:id="28"/>
    </w:p>
    <w:p w14:paraId="0A07E5E1" w14:textId="73B49D8B" w:rsidR="00B536C0" w:rsidRDefault="00B536C0" w:rsidP="00B536C0">
      <w:pPr>
        <w:rPr>
          <w:lang w:val="en-GB" w:eastAsia="de-DE"/>
        </w:rPr>
      </w:pPr>
    </w:p>
    <w:p w14:paraId="730CDC92" w14:textId="0F5A90F5" w:rsidR="00B536C0" w:rsidRDefault="00B536C0" w:rsidP="00B536C0">
      <w:pPr>
        <w:rPr>
          <w:lang w:val="en-GB" w:eastAsia="de-DE"/>
        </w:rPr>
      </w:pPr>
    </w:p>
    <w:p w14:paraId="2077B9E2" w14:textId="42F806EE" w:rsidR="00B536C0" w:rsidRDefault="00B536C0" w:rsidP="00B536C0">
      <w:pPr>
        <w:rPr>
          <w:lang w:val="en-GB" w:eastAsia="de-DE"/>
        </w:rPr>
      </w:pPr>
    </w:p>
    <w:p w14:paraId="402EC03D" w14:textId="492D5532" w:rsidR="00B536C0" w:rsidRDefault="00B536C0" w:rsidP="00B536C0">
      <w:pPr>
        <w:rPr>
          <w:lang w:val="en-GB" w:eastAsia="de-DE"/>
        </w:rPr>
      </w:pPr>
    </w:p>
    <w:p w14:paraId="6B2A2EE3" w14:textId="062207A8" w:rsidR="00B536C0" w:rsidRDefault="00B536C0" w:rsidP="00B536C0">
      <w:pPr>
        <w:rPr>
          <w:lang w:val="en-GB" w:eastAsia="de-DE"/>
        </w:rPr>
      </w:pPr>
    </w:p>
    <w:p w14:paraId="628C5AA5" w14:textId="7CF3F6E7" w:rsidR="00B536C0" w:rsidRDefault="00B536C0" w:rsidP="00B536C0">
      <w:pPr>
        <w:rPr>
          <w:lang w:val="en-GB" w:eastAsia="de-DE"/>
        </w:rPr>
      </w:pPr>
    </w:p>
    <w:p w14:paraId="3653FA8C" w14:textId="3C1C92AA" w:rsidR="00B536C0" w:rsidRDefault="00B536C0" w:rsidP="00B536C0">
      <w:pPr>
        <w:rPr>
          <w:lang w:val="en-GB" w:eastAsia="de-DE"/>
        </w:rPr>
      </w:pPr>
    </w:p>
    <w:p w14:paraId="2F335368" w14:textId="27E89B7C" w:rsidR="00B536C0" w:rsidRDefault="00B536C0" w:rsidP="00B536C0">
      <w:pPr>
        <w:rPr>
          <w:lang w:val="en-GB" w:eastAsia="de-DE"/>
        </w:rPr>
      </w:pPr>
    </w:p>
    <w:p w14:paraId="21A1B186" w14:textId="77777777" w:rsidR="00B536C0" w:rsidRPr="00190198" w:rsidRDefault="00B536C0" w:rsidP="00B536C0">
      <w:pPr>
        <w:rPr>
          <w:lang w:val="en-GB" w:eastAsia="de-DE"/>
        </w:rPr>
      </w:pPr>
    </w:p>
    <w:p w14:paraId="3EB29A09" w14:textId="1172E9E8" w:rsidR="009B04BF" w:rsidRPr="00190198" w:rsidRDefault="009B04BF" w:rsidP="00B52904">
      <w:pPr>
        <w:pStyle w:val="Nagwek1"/>
        <w:numPr>
          <w:ilvl w:val="0"/>
          <w:numId w:val="0"/>
        </w:numPr>
        <w:ind w:left="432" w:hanging="432"/>
        <w:rPr>
          <w:rFonts w:eastAsia="Malgun Gothic"/>
          <w:sz w:val="22"/>
          <w:szCs w:val="22"/>
        </w:rPr>
      </w:pPr>
      <w:bookmarkStart w:id="29" w:name="_Toc447201235"/>
      <w:bookmarkStart w:id="30" w:name="_Toc188960935"/>
      <w:r w:rsidRPr="00190198">
        <w:rPr>
          <w:rFonts w:eastAsia="Malgun Gothic"/>
          <w:sz w:val="22"/>
          <w:szCs w:val="22"/>
        </w:rPr>
        <w:t xml:space="preserve">Appendix </w:t>
      </w:r>
      <w:r w:rsidRPr="00190198">
        <w:rPr>
          <w:rFonts w:eastAsia="Malgun Gothic"/>
          <w:sz w:val="22"/>
          <w:szCs w:val="22"/>
          <w:lang w:eastAsia="ko-KR"/>
        </w:rPr>
        <w:t>B</w:t>
      </w:r>
      <w:r w:rsidRPr="00190198">
        <w:rPr>
          <w:rFonts w:eastAsia="Malgun Gothic"/>
          <w:sz w:val="22"/>
          <w:szCs w:val="22"/>
        </w:rPr>
        <w:t xml:space="preserve"> – Results Report Form</w:t>
      </w:r>
      <w:bookmarkEnd w:id="29"/>
      <w:r w:rsidR="00C631DE">
        <w:rPr>
          <w:rFonts w:eastAsia="Malgun Gothic"/>
          <w:sz w:val="22"/>
          <w:szCs w:val="22"/>
        </w:rPr>
        <w:t xml:space="preserve"> – fill Excel file</w:t>
      </w:r>
      <w:r w:rsidR="00285E95">
        <w:rPr>
          <w:rFonts w:eastAsia="Malgun Gothic"/>
          <w:sz w:val="22"/>
          <w:szCs w:val="22"/>
        </w:rPr>
        <w:t xml:space="preserve"> </w:t>
      </w:r>
      <w:r w:rsidR="00285E95" w:rsidRPr="00285E95">
        <w:rPr>
          <w:rFonts w:eastAsia="Malgun Gothic"/>
          <w:sz w:val="22"/>
          <w:szCs w:val="22"/>
        </w:rPr>
        <w:t>XXX_EURAMET.L-K5.n01 Results Report Form</w:t>
      </w:r>
      <w:bookmarkEnd w:id="30"/>
    </w:p>
    <w:tbl>
      <w:tblPr>
        <w:tblW w:w="0" w:type="auto"/>
        <w:tblLook w:val="01E0" w:firstRow="1" w:lastRow="1" w:firstColumn="1" w:lastColumn="1" w:noHBand="0" w:noVBand="0"/>
      </w:tblPr>
      <w:tblGrid>
        <w:gridCol w:w="812"/>
        <w:gridCol w:w="8516"/>
      </w:tblGrid>
      <w:tr w:rsidR="009B04BF" w:rsidRPr="00190198" w14:paraId="0521E6C9" w14:textId="77777777" w:rsidTr="009B04BF">
        <w:tc>
          <w:tcPr>
            <w:tcW w:w="815" w:type="dxa"/>
            <w:tcBorders>
              <w:top w:val="nil"/>
              <w:left w:val="nil"/>
              <w:bottom w:val="nil"/>
              <w:right w:val="single" w:sz="4" w:space="0" w:color="auto"/>
            </w:tcBorders>
            <w:hideMark/>
          </w:tcPr>
          <w:p w14:paraId="64CC26FB" w14:textId="77777777" w:rsidR="009B04BF" w:rsidRPr="00190198" w:rsidRDefault="009B04BF">
            <w:pPr>
              <w:rPr>
                <w:lang w:val="en-GB" w:eastAsia="de-DE"/>
              </w:rPr>
            </w:pPr>
            <w:r w:rsidRPr="00190198">
              <w:rPr>
                <w:lang w:val="en-GB" w:eastAsia="de-DE"/>
              </w:rPr>
              <w:t>To:</w:t>
            </w:r>
          </w:p>
        </w:tc>
        <w:tc>
          <w:tcPr>
            <w:tcW w:w="8734" w:type="dxa"/>
            <w:tcBorders>
              <w:top w:val="single" w:sz="4" w:space="0" w:color="auto"/>
              <w:left w:val="single" w:sz="4" w:space="0" w:color="auto"/>
              <w:bottom w:val="single" w:sz="4" w:space="0" w:color="auto"/>
              <w:right w:val="single" w:sz="4" w:space="0" w:color="auto"/>
            </w:tcBorders>
            <w:hideMark/>
          </w:tcPr>
          <w:p w14:paraId="57F4C63F" w14:textId="1BC253C0" w:rsidR="00C14C30" w:rsidRPr="00190198" w:rsidRDefault="00C14C30" w:rsidP="00C14C30">
            <w:pPr>
              <w:rPr>
                <w:lang w:val="en-GB" w:eastAsia="de-DE"/>
              </w:rPr>
            </w:pPr>
            <w:r w:rsidRPr="00190198">
              <w:rPr>
                <w:lang w:val="en-GB" w:eastAsia="ko-KR"/>
              </w:rPr>
              <w:t>Dariusz Czułek</w:t>
            </w:r>
          </w:p>
          <w:p w14:paraId="64665426" w14:textId="77777777" w:rsidR="00C14C30" w:rsidRPr="00190198" w:rsidRDefault="00C14C30" w:rsidP="00C14C30">
            <w:pPr>
              <w:rPr>
                <w:lang w:val="en-GB" w:eastAsia="de-DE"/>
              </w:rPr>
            </w:pPr>
            <w:r w:rsidRPr="00190198">
              <w:rPr>
                <w:lang w:val="en-GB" w:eastAsia="ko-KR"/>
              </w:rPr>
              <w:t>Central Office of Measures, Elektoralna 2, Warsaw, 00-139, Poland</w:t>
            </w:r>
          </w:p>
          <w:p w14:paraId="03AFAA38" w14:textId="44B719E9" w:rsidR="009B04BF" w:rsidRPr="00B536C0" w:rsidRDefault="00C14C30" w:rsidP="00C14C30">
            <w:pPr>
              <w:rPr>
                <w:lang w:val="en-GB" w:eastAsia="de-DE"/>
              </w:rPr>
            </w:pPr>
            <w:r w:rsidRPr="00B536C0">
              <w:rPr>
                <w:lang w:val="en-GB" w:eastAsia="de-DE"/>
              </w:rPr>
              <w:t xml:space="preserve">Fax: </w:t>
            </w:r>
            <w:r w:rsidRPr="00B536C0">
              <w:rPr>
                <w:lang w:val="en-GB" w:eastAsia="de-DE"/>
              </w:rPr>
              <w:tab/>
            </w:r>
            <w:r w:rsidRPr="00B536C0">
              <w:rPr>
                <w:lang w:val="en-GB" w:eastAsia="ko-KR"/>
              </w:rPr>
              <w:t>+48 22 581 95 43</w:t>
            </w:r>
            <w:r w:rsidRPr="00B536C0">
              <w:rPr>
                <w:lang w:val="en-GB" w:eastAsia="ko-KR"/>
              </w:rPr>
              <w:tab/>
            </w:r>
            <w:r w:rsidRPr="00B536C0">
              <w:rPr>
                <w:lang w:val="en-GB" w:eastAsia="de-DE"/>
              </w:rPr>
              <w:tab/>
              <w:t xml:space="preserve">e-mail: </w:t>
            </w:r>
            <w:hyperlink r:id="rId13" w:history="1">
              <w:r w:rsidRPr="00B536C0">
                <w:rPr>
                  <w:rStyle w:val="Hipercze"/>
                  <w:lang w:val="en-GB" w:eastAsia="de-DE"/>
                </w:rPr>
                <w:t>length@gum.gov.pl</w:t>
              </w:r>
            </w:hyperlink>
          </w:p>
        </w:tc>
      </w:tr>
      <w:tr w:rsidR="009B04BF" w:rsidRPr="00190198" w14:paraId="473D9743" w14:textId="77777777" w:rsidTr="009B04BF">
        <w:trPr>
          <w:trHeight w:val="1180"/>
        </w:trPr>
        <w:tc>
          <w:tcPr>
            <w:tcW w:w="815" w:type="dxa"/>
            <w:tcBorders>
              <w:top w:val="nil"/>
              <w:left w:val="nil"/>
              <w:bottom w:val="nil"/>
              <w:right w:val="single" w:sz="4" w:space="0" w:color="auto"/>
            </w:tcBorders>
            <w:hideMark/>
          </w:tcPr>
          <w:p w14:paraId="009F6897" w14:textId="77777777" w:rsidR="009B04BF" w:rsidRPr="00190198" w:rsidRDefault="009B04BF">
            <w:pPr>
              <w:spacing w:before="120" w:line="360" w:lineRule="auto"/>
              <w:rPr>
                <w:lang w:val="en-GB" w:eastAsia="de-DE"/>
              </w:rPr>
            </w:pPr>
            <w:r w:rsidRPr="00190198">
              <w:rPr>
                <w:lang w:val="en-GB" w:eastAsia="de-DE"/>
              </w:rPr>
              <w:t>From:</w:t>
            </w:r>
          </w:p>
        </w:tc>
        <w:tc>
          <w:tcPr>
            <w:tcW w:w="8734" w:type="dxa"/>
            <w:tcBorders>
              <w:top w:val="single" w:sz="4" w:space="0" w:color="auto"/>
              <w:left w:val="single" w:sz="4" w:space="0" w:color="auto"/>
              <w:bottom w:val="single" w:sz="4" w:space="0" w:color="auto"/>
              <w:right w:val="single" w:sz="4" w:space="0" w:color="auto"/>
            </w:tcBorders>
          </w:tcPr>
          <w:p w14:paraId="7E7C2BD6" w14:textId="77777777" w:rsidR="009B04BF" w:rsidRPr="00190198" w:rsidRDefault="009B04BF">
            <w:pPr>
              <w:spacing w:before="120" w:line="360" w:lineRule="auto"/>
              <w:rPr>
                <w:lang w:val="en-GB" w:eastAsia="de-DE"/>
              </w:rPr>
            </w:pPr>
          </w:p>
          <w:p w14:paraId="7CAABFC7" w14:textId="77777777" w:rsidR="009B04BF" w:rsidRPr="00190198" w:rsidRDefault="009B04BF">
            <w:pPr>
              <w:spacing w:before="120" w:line="360" w:lineRule="auto"/>
              <w:rPr>
                <w:lang w:val="en-GB" w:eastAsia="de-DE"/>
              </w:rPr>
            </w:pPr>
            <w:r w:rsidRPr="00190198">
              <w:rPr>
                <w:lang w:val="en-GB" w:eastAsia="de-DE"/>
              </w:rPr>
              <w:t xml:space="preserve">NMI: </w:t>
            </w:r>
            <w:r w:rsidRPr="00190198">
              <w:rPr>
                <w:lang w:val="en-GB" w:eastAsia="de-DE"/>
              </w:rPr>
              <w:tab/>
            </w:r>
            <w:r w:rsidRPr="00190198">
              <w:rPr>
                <w:lang w:val="en-GB" w:eastAsia="de-DE"/>
              </w:rPr>
              <w:tab/>
              <w:t>………………………………</w:t>
            </w:r>
            <w:r w:rsidRPr="00190198">
              <w:rPr>
                <w:lang w:val="en-GB" w:eastAsia="de-DE"/>
              </w:rPr>
              <w:tab/>
            </w:r>
            <w:r w:rsidRPr="00190198">
              <w:rPr>
                <w:lang w:val="en-GB" w:eastAsia="de-DE"/>
              </w:rPr>
              <w:tab/>
              <w:t>Name:</w:t>
            </w:r>
            <w:r w:rsidRPr="00190198">
              <w:rPr>
                <w:lang w:val="en-GB" w:eastAsia="de-DE"/>
              </w:rPr>
              <w:tab/>
              <w:t>………………………………</w:t>
            </w:r>
          </w:p>
          <w:p w14:paraId="3D8C3798" w14:textId="77777777" w:rsidR="009B04BF" w:rsidRPr="00190198" w:rsidRDefault="009B04BF">
            <w:pPr>
              <w:spacing w:before="120" w:line="360" w:lineRule="auto"/>
              <w:rPr>
                <w:lang w:val="en-GB" w:eastAsia="de-DE"/>
              </w:rPr>
            </w:pPr>
            <w:r w:rsidRPr="00190198">
              <w:rPr>
                <w:lang w:val="en-GB" w:eastAsia="de-DE"/>
              </w:rPr>
              <w:t>Signature:</w:t>
            </w:r>
            <w:r w:rsidRPr="00190198">
              <w:rPr>
                <w:lang w:val="en-GB" w:eastAsia="de-DE"/>
              </w:rPr>
              <w:tab/>
              <w:t>………………………………</w:t>
            </w:r>
            <w:r w:rsidRPr="00190198">
              <w:rPr>
                <w:lang w:val="en-GB" w:eastAsia="de-DE"/>
              </w:rPr>
              <w:tab/>
            </w:r>
            <w:r w:rsidRPr="00190198">
              <w:rPr>
                <w:lang w:val="en-GB" w:eastAsia="de-DE"/>
              </w:rPr>
              <w:tab/>
              <w:t>Date:</w:t>
            </w:r>
            <w:r w:rsidRPr="00190198">
              <w:rPr>
                <w:lang w:val="en-GB" w:eastAsia="de-DE"/>
              </w:rPr>
              <w:tab/>
              <w:t>………………………………</w:t>
            </w:r>
          </w:p>
        </w:tc>
      </w:tr>
    </w:tbl>
    <w:p w14:paraId="20E0C566" w14:textId="5BD57D5B" w:rsidR="009B04BF" w:rsidRPr="00190198" w:rsidRDefault="009B04BF" w:rsidP="0051407B">
      <w:pPr>
        <w:pStyle w:val="Akapitzlist"/>
        <w:numPr>
          <w:ilvl w:val="3"/>
          <w:numId w:val="4"/>
        </w:numPr>
        <w:spacing w:before="240"/>
        <w:ind w:left="357" w:hanging="357"/>
        <w:rPr>
          <w:rFonts w:asciiTheme="minorHAnsi" w:hAnsiTheme="minorHAnsi" w:cstheme="minorHAnsi"/>
          <w:b/>
          <w:szCs w:val="22"/>
          <w:lang w:val="en-GB" w:eastAsia="ko-KR"/>
        </w:rPr>
      </w:pPr>
      <w:r w:rsidRPr="00190198">
        <w:rPr>
          <w:rFonts w:asciiTheme="minorHAnsi" w:hAnsiTheme="minorHAnsi" w:cstheme="minorHAnsi"/>
          <w:b/>
          <w:bCs/>
          <w:color w:val="000000"/>
          <w:szCs w:val="22"/>
          <w:lang w:val="en-GB"/>
        </w:rPr>
        <w:t>Measurement results</w:t>
      </w:r>
    </w:p>
    <w:tbl>
      <w:tblPr>
        <w:tblStyle w:val="Tabela-Siatka"/>
        <w:tblW w:w="0" w:type="auto"/>
        <w:jc w:val="center"/>
        <w:tblLook w:val="04A0" w:firstRow="1" w:lastRow="0" w:firstColumn="1" w:lastColumn="0" w:noHBand="0" w:noVBand="1"/>
      </w:tblPr>
      <w:tblGrid>
        <w:gridCol w:w="1129"/>
        <w:gridCol w:w="2127"/>
        <w:gridCol w:w="1842"/>
        <w:gridCol w:w="2482"/>
        <w:gridCol w:w="1743"/>
      </w:tblGrid>
      <w:tr w:rsidR="00DF24D1" w:rsidRPr="00190198" w14:paraId="530EE22C" w14:textId="77777777" w:rsidTr="009A18A4">
        <w:trPr>
          <w:trHeight w:val="591"/>
          <w:jc w:val="center"/>
        </w:trPr>
        <w:tc>
          <w:tcPr>
            <w:tcW w:w="9323" w:type="dxa"/>
            <w:gridSpan w:val="5"/>
            <w:tcBorders>
              <w:top w:val="single" w:sz="4" w:space="0" w:color="auto"/>
              <w:left w:val="single" w:sz="4" w:space="0" w:color="auto"/>
              <w:bottom w:val="single" w:sz="4" w:space="0" w:color="auto"/>
              <w:right w:val="single" w:sz="4" w:space="0" w:color="auto"/>
            </w:tcBorders>
          </w:tcPr>
          <w:p w14:paraId="183C0EC2" w14:textId="78FF431B" w:rsidR="00DF24D1" w:rsidRPr="00190198" w:rsidRDefault="00DF24D1" w:rsidP="00D126B0">
            <w:pPr>
              <w:jc w:val="center"/>
              <w:rPr>
                <w:sz w:val="26"/>
                <w:szCs w:val="26"/>
                <w:lang w:val="en-GB" w:eastAsia="ko-KR"/>
              </w:rPr>
            </w:pPr>
            <w:r>
              <w:rPr>
                <w:sz w:val="26"/>
                <w:szCs w:val="26"/>
                <w:lang w:val="en-GB" w:eastAsia="ko-KR"/>
              </w:rPr>
              <w:t>Sphere – outer diameter</w:t>
            </w:r>
          </w:p>
        </w:tc>
      </w:tr>
      <w:tr w:rsidR="00D126B0" w:rsidRPr="00190198" w14:paraId="723E6BD3" w14:textId="4BD80614" w:rsidTr="00D126B0">
        <w:trPr>
          <w:trHeight w:val="591"/>
          <w:jc w:val="center"/>
        </w:trPr>
        <w:tc>
          <w:tcPr>
            <w:tcW w:w="1129" w:type="dxa"/>
            <w:tcBorders>
              <w:top w:val="single" w:sz="4" w:space="0" w:color="auto"/>
              <w:left w:val="single" w:sz="4" w:space="0" w:color="auto"/>
              <w:bottom w:val="single" w:sz="4" w:space="0" w:color="auto"/>
              <w:right w:val="single" w:sz="4" w:space="0" w:color="auto"/>
            </w:tcBorders>
            <w:hideMark/>
          </w:tcPr>
          <w:p w14:paraId="6A01AEA6" w14:textId="5FE96A6D" w:rsidR="00D126B0" w:rsidRPr="00190198" w:rsidRDefault="00D126B0" w:rsidP="00D126B0">
            <w:pPr>
              <w:jc w:val="center"/>
              <w:rPr>
                <w:sz w:val="26"/>
                <w:szCs w:val="26"/>
                <w:lang w:val="en-GB" w:eastAsia="ko-KR"/>
              </w:rPr>
            </w:pPr>
            <w:r>
              <w:rPr>
                <w:sz w:val="26"/>
                <w:szCs w:val="26"/>
                <w:lang w:val="en-GB" w:eastAsia="ko-KR"/>
              </w:rPr>
              <w:t>Filter</w:t>
            </w:r>
          </w:p>
        </w:tc>
        <w:tc>
          <w:tcPr>
            <w:tcW w:w="2127" w:type="dxa"/>
            <w:tcBorders>
              <w:top w:val="single" w:sz="4" w:space="0" w:color="auto"/>
              <w:left w:val="single" w:sz="4" w:space="0" w:color="auto"/>
              <w:bottom w:val="single" w:sz="4" w:space="0" w:color="auto"/>
              <w:right w:val="single" w:sz="4" w:space="0" w:color="auto"/>
            </w:tcBorders>
            <w:hideMark/>
          </w:tcPr>
          <w:p w14:paraId="5D95F2EA" w14:textId="510B3215" w:rsidR="00D126B0" w:rsidRPr="00190198" w:rsidRDefault="00D126B0" w:rsidP="00D126B0">
            <w:pPr>
              <w:jc w:val="center"/>
              <w:rPr>
                <w:sz w:val="26"/>
                <w:szCs w:val="26"/>
                <w:lang w:val="en-GB" w:eastAsia="ko-KR"/>
              </w:rPr>
            </w:pPr>
            <w:r>
              <w:rPr>
                <w:sz w:val="26"/>
                <w:szCs w:val="26"/>
                <w:lang w:val="en-GB" w:eastAsia="ko-KR"/>
              </w:rPr>
              <w:t>Roundness deviation (LSCi) [</w:t>
            </w:r>
            <w:r w:rsidRPr="00190198">
              <w:rPr>
                <w:sz w:val="26"/>
                <w:szCs w:val="26"/>
                <w:lang w:val="en-GB" w:eastAsia="ko-KR"/>
              </w:rPr>
              <w:t>µ</w:t>
            </w:r>
            <w:r>
              <w:rPr>
                <w:sz w:val="26"/>
                <w:szCs w:val="26"/>
                <w:lang w:val="en-GB" w:eastAsia="ko-KR"/>
              </w:rPr>
              <w:t>m]</w:t>
            </w:r>
          </w:p>
        </w:tc>
        <w:tc>
          <w:tcPr>
            <w:tcW w:w="1842" w:type="dxa"/>
            <w:tcBorders>
              <w:top w:val="single" w:sz="4" w:space="0" w:color="auto"/>
              <w:left w:val="single" w:sz="4" w:space="0" w:color="auto"/>
              <w:bottom w:val="single" w:sz="4" w:space="0" w:color="auto"/>
              <w:right w:val="single" w:sz="4" w:space="0" w:color="auto"/>
            </w:tcBorders>
            <w:hideMark/>
          </w:tcPr>
          <w:p w14:paraId="5C94E854" w14:textId="1D19AD18" w:rsidR="00D126B0" w:rsidRPr="00190198" w:rsidRDefault="00D126B0" w:rsidP="00D126B0">
            <w:pPr>
              <w:jc w:val="center"/>
              <w:rPr>
                <w:sz w:val="26"/>
                <w:szCs w:val="26"/>
                <w:lang w:val="en-GB" w:eastAsia="ko-KR"/>
              </w:rPr>
            </w:pPr>
            <w:r w:rsidRPr="00190198">
              <w:rPr>
                <w:sz w:val="26"/>
                <w:szCs w:val="26"/>
                <w:lang w:val="en-GB" w:eastAsia="ko-KR"/>
              </w:rPr>
              <w:t xml:space="preserve">Standard uncertainty </w:t>
            </w:r>
            <w:r>
              <w:rPr>
                <w:sz w:val="26"/>
                <w:szCs w:val="26"/>
                <w:lang w:val="en-GB" w:eastAsia="ko-KR"/>
              </w:rPr>
              <w:t>[</w:t>
            </w:r>
            <w:r w:rsidRPr="00190198">
              <w:rPr>
                <w:sz w:val="26"/>
                <w:szCs w:val="26"/>
                <w:lang w:val="en-GB" w:eastAsia="ko-KR"/>
              </w:rPr>
              <w:t>µ</w:t>
            </w:r>
            <w:r>
              <w:rPr>
                <w:sz w:val="26"/>
                <w:szCs w:val="26"/>
                <w:lang w:val="en-GB" w:eastAsia="ko-KR"/>
              </w:rPr>
              <w:t>m]</w:t>
            </w:r>
          </w:p>
        </w:tc>
        <w:tc>
          <w:tcPr>
            <w:tcW w:w="2482" w:type="dxa"/>
            <w:tcBorders>
              <w:top w:val="single" w:sz="4" w:space="0" w:color="auto"/>
              <w:left w:val="single" w:sz="4" w:space="0" w:color="auto"/>
              <w:bottom w:val="single" w:sz="4" w:space="0" w:color="auto"/>
              <w:right w:val="single" w:sz="4" w:space="0" w:color="auto"/>
            </w:tcBorders>
          </w:tcPr>
          <w:p w14:paraId="528AD607" w14:textId="38886C01" w:rsidR="00D126B0" w:rsidRPr="00190198" w:rsidRDefault="00D126B0" w:rsidP="00D126B0">
            <w:pPr>
              <w:jc w:val="center"/>
              <w:rPr>
                <w:sz w:val="26"/>
                <w:szCs w:val="26"/>
                <w:lang w:val="en-GB" w:eastAsia="ko-KR"/>
              </w:rPr>
            </w:pPr>
            <w:r>
              <w:rPr>
                <w:sz w:val="26"/>
                <w:szCs w:val="26"/>
                <w:lang w:val="en-GB" w:eastAsia="ko-KR"/>
              </w:rPr>
              <w:t>Roundness deviation (MZCi)</w:t>
            </w:r>
            <w:r>
              <w:rPr>
                <w:sz w:val="26"/>
                <w:szCs w:val="26"/>
                <w:lang w:val="en-GB" w:eastAsia="ko-KR"/>
              </w:rPr>
              <w:br/>
              <w:t>[</w:t>
            </w:r>
            <w:r w:rsidRPr="00190198">
              <w:rPr>
                <w:sz w:val="26"/>
                <w:szCs w:val="26"/>
                <w:lang w:val="en-GB" w:eastAsia="ko-KR"/>
              </w:rPr>
              <w:t>µ</w:t>
            </w:r>
            <w:r>
              <w:rPr>
                <w:sz w:val="26"/>
                <w:szCs w:val="26"/>
                <w:lang w:val="en-GB" w:eastAsia="ko-KR"/>
              </w:rPr>
              <w:t>m]</w:t>
            </w:r>
          </w:p>
        </w:tc>
        <w:tc>
          <w:tcPr>
            <w:tcW w:w="1743" w:type="dxa"/>
            <w:tcBorders>
              <w:top w:val="single" w:sz="4" w:space="0" w:color="auto"/>
              <w:left w:val="single" w:sz="4" w:space="0" w:color="auto"/>
              <w:bottom w:val="single" w:sz="4" w:space="0" w:color="auto"/>
              <w:right w:val="single" w:sz="4" w:space="0" w:color="auto"/>
            </w:tcBorders>
          </w:tcPr>
          <w:p w14:paraId="396DFCB1" w14:textId="389245CA" w:rsidR="00D126B0" w:rsidRPr="00190198" w:rsidRDefault="00D126B0" w:rsidP="00D126B0">
            <w:pPr>
              <w:jc w:val="center"/>
              <w:rPr>
                <w:sz w:val="26"/>
                <w:szCs w:val="26"/>
                <w:lang w:val="en-GB" w:eastAsia="ko-KR"/>
              </w:rPr>
            </w:pPr>
            <w:r w:rsidRPr="00190198">
              <w:rPr>
                <w:sz w:val="26"/>
                <w:szCs w:val="26"/>
                <w:lang w:val="en-GB" w:eastAsia="ko-KR"/>
              </w:rPr>
              <w:t xml:space="preserve">Standard uncertainty   </w:t>
            </w:r>
            <w:r>
              <w:rPr>
                <w:sz w:val="26"/>
                <w:szCs w:val="26"/>
                <w:lang w:val="en-GB" w:eastAsia="ko-KR"/>
              </w:rPr>
              <w:t>[</w:t>
            </w:r>
            <w:r w:rsidRPr="00190198">
              <w:rPr>
                <w:sz w:val="26"/>
                <w:szCs w:val="26"/>
                <w:lang w:val="en-GB" w:eastAsia="ko-KR"/>
              </w:rPr>
              <w:t>µ</w:t>
            </w:r>
            <w:r>
              <w:rPr>
                <w:sz w:val="26"/>
                <w:szCs w:val="26"/>
                <w:lang w:val="en-GB" w:eastAsia="ko-KR"/>
              </w:rPr>
              <w:t>m]</w:t>
            </w:r>
          </w:p>
        </w:tc>
      </w:tr>
      <w:tr w:rsidR="00D126B0" w:rsidRPr="00190198" w14:paraId="49403A37" w14:textId="4B83DA75" w:rsidTr="00D126B0">
        <w:trPr>
          <w:jc w:val="center"/>
        </w:trPr>
        <w:tc>
          <w:tcPr>
            <w:tcW w:w="1129" w:type="dxa"/>
            <w:tcBorders>
              <w:top w:val="single" w:sz="4" w:space="0" w:color="auto"/>
              <w:left w:val="single" w:sz="4" w:space="0" w:color="auto"/>
              <w:bottom w:val="single" w:sz="4" w:space="0" w:color="auto"/>
              <w:right w:val="single" w:sz="4" w:space="0" w:color="auto"/>
            </w:tcBorders>
            <w:hideMark/>
          </w:tcPr>
          <w:p w14:paraId="5FBB608E" w14:textId="61CCB6B8" w:rsidR="00D126B0" w:rsidRPr="00190198" w:rsidRDefault="00D126B0" w:rsidP="00D126B0">
            <w:pPr>
              <w:jc w:val="center"/>
              <w:rPr>
                <w:b/>
                <w:sz w:val="18"/>
                <w:szCs w:val="18"/>
                <w:lang w:val="en-GB" w:eastAsia="ko-KR"/>
              </w:rPr>
            </w:pPr>
            <w:r>
              <w:rPr>
                <w:b/>
                <w:sz w:val="18"/>
                <w:szCs w:val="18"/>
                <w:lang w:val="en-GB" w:eastAsia="ko-KR"/>
              </w:rPr>
              <w:t>1-15</w:t>
            </w:r>
            <w:r w:rsidR="0042100E">
              <w:rPr>
                <w:b/>
                <w:sz w:val="18"/>
                <w:szCs w:val="18"/>
                <w:lang w:val="en-GB" w:eastAsia="ko-KR"/>
              </w:rPr>
              <w:t xml:space="preserve"> Gaussian</w:t>
            </w:r>
          </w:p>
        </w:tc>
        <w:tc>
          <w:tcPr>
            <w:tcW w:w="2127" w:type="dxa"/>
            <w:tcBorders>
              <w:top w:val="single" w:sz="4" w:space="0" w:color="auto"/>
              <w:left w:val="single" w:sz="4" w:space="0" w:color="auto"/>
              <w:bottom w:val="single" w:sz="4" w:space="0" w:color="auto"/>
              <w:right w:val="single" w:sz="4" w:space="0" w:color="auto"/>
            </w:tcBorders>
          </w:tcPr>
          <w:p w14:paraId="32741ECC" w14:textId="77777777" w:rsidR="00D126B0" w:rsidRPr="00190198" w:rsidRDefault="00D126B0" w:rsidP="00D126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2BCE5193" w14:textId="77777777" w:rsidR="00D126B0" w:rsidRPr="00190198" w:rsidRDefault="00D126B0" w:rsidP="00D126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7AB059B9" w14:textId="77777777" w:rsidR="00D126B0" w:rsidRPr="00190198" w:rsidRDefault="00D126B0" w:rsidP="00D126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1C609146" w14:textId="77777777" w:rsidR="00D126B0" w:rsidRPr="00190198" w:rsidRDefault="00D126B0" w:rsidP="00D126B0">
            <w:pPr>
              <w:rPr>
                <w:b/>
                <w:sz w:val="18"/>
                <w:szCs w:val="18"/>
                <w:lang w:val="en-GB" w:eastAsia="ko-KR"/>
              </w:rPr>
            </w:pPr>
          </w:p>
        </w:tc>
      </w:tr>
      <w:tr w:rsidR="00D126B0" w:rsidRPr="00190198" w14:paraId="0A5882BA" w14:textId="3FB1EAF1" w:rsidTr="00D126B0">
        <w:trPr>
          <w:jc w:val="center"/>
        </w:trPr>
        <w:tc>
          <w:tcPr>
            <w:tcW w:w="1129" w:type="dxa"/>
            <w:tcBorders>
              <w:top w:val="single" w:sz="4" w:space="0" w:color="auto"/>
              <w:left w:val="single" w:sz="4" w:space="0" w:color="auto"/>
              <w:bottom w:val="single" w:sz="4" w:space="0" w:color="auto"/>
              <w:right w:val="single" w:sz="4" w:space="0" w:color="auto"/>
            </w:tcBorders>
            <w:hideMark/>
          </w:tcPr>
          <w:p w14:paraId="40061C55" w14:textId="663BD718" w:rsidR="00D126B0" w:rsidRPr="00190198" w:rsidRDefault="00D126B0" w:rsidP="00D126B0">
            <w:pPr>
              <w:jc w:val="center"/>
              <w:rPr>
                <w:b/>
                <w:sz w:val="18"/>
                <w:szCs w:val="18"/>
                <w:lang w:val="en-GB" w:eastAsia="ko-KR"/>
              </w:rPr>
            </w:pPr>
            <w:r>
              <w:rPr>
                <w:b/>
                <w:sz w:val="18"/>
                <w:szCs w:val="18"/>
                <w:lang w:val="en-GB" w:eastAsia="ko-KR"/>
              </w:rPr>
              <w:t>1-50</w:t>
            </w:r>
            <w:r w:rsidR="0042100E">
              <w:rPr>
                <w:b/>
                <w:sz w:val="18"/>
                <w:szCs w:val="18"/>
                <w:lang w:val="en-GB" w:eastAsia="ko-KR"/>
              </w:rPr>
              <w:t xml:space="preserve"> Gaussian</w:t>
            </w:r>
          </w:p>
        </w:tc>
        <w:tc>
          <w:tcPr>
            <w:tcW w:w="2127" w:type="dxa"/>
            <w:tcBorders>
              <w:top w:val="single" w:sz="4" w:space="0" w:color="auto"/>
              <w:left w:val="single" w:sz="4" w:space="0" w:color="auto"/>
              <w:bottom w:val="single" w:sz="4" w:space="0" w:color="auto"/>
              <w:right w:val="single" w:sz="4" w:space="0" w:color="auto"/>
            </w:tcBorders>
          </w:tcPr>
          <w:p w14:paraId="4579C63D" w14:textId="77777777" w:rsidR="00D126B0" w:rsidRPr="00190198" w:rsidRDefault="00D126B0" w:rsidP="00D126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6BB6F86F" w14:textId="77777777" w:rsidR="00D126B0" w:rsidRPr="00190198" w:rsidRDefault="00D126B0" w:rsidP="00D126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7226BCDA" w14:textId="77777777" w:rsidR="00D126B0" w:rsidRPr="00190198" w:rsidRDefault="00D126B0" w:rsidP="00D126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278F0874" w14:textId="77777777" w:rsidR="00D126B0" w:rsidRPr="00190198" w:rsidRDefault="00D126B0" w:rsidP="00D126B0">
            <w:pPr>
              <w:rPr>
                <w:b/>
                <w:sz w:val="18"/>
                <w:szCs w:val="18"/>
                <w:lang w:val="en-GB" w:eastAsia="ko-KR"/>
              </w:rPr>
            </w:pPr>
          </w:p>
        </w:tc>
      </w:tr>
      <w:tr w:rsidR="00D126B0" w:rsidRPr="00190198" w14:paraId="50AA56B9" w14:textId="35440902" w:rsidTr="00D126B0">
        <w:trPr>
          <w:jc w:val="center"/>
        </w:trPr>
        <w:tc>
          <w:tcPr>
            <w:tcW w:w="1129" w:type="dxa"/>
            <w:tcBorders>
              <w:top w:val="single" w:sz="4" w:space="0" w:color="auto"/>
              <w:left w:val="single" w:sz="4" w:space="0" w:color="auto"/>
              <w:bottom w:val="single" w:sz="4" w:space="0" w:color="auto"/>
              <w:right w:val="single" w:sz="4" w:space="0" w:color="auto"/>
            </w:tcBorders>
            <w:hideMark/>
          </w:tcPr>
          <w:p w14:paraId="009BD943" w14:textId="323D29E5" w:rsidR="00D126B0" w:rsidRPr="00190198" w:rsidRDefault="00D126B0" w:rsidP="00D126B0">
            <w:pPr>
              <w:jc w:val="center"/>
              <w:rPr>
                <w:b/>
                <w:sz w:val="18"/>
                <w:szCs w:val="18"/>
                <w:lang w:val="en-GB" w:eastAsia="ko-KR"/>
              </w:rPr>
            </w:pPr>
            <w:r>
              <w:rPr>
                <w:b/>
                <w:sz w:val="18"/>
                <w:szCs w:val="18"/>
                <w:lang w:val="en-GB" w:eastAsia="ko-KR"/>
              </w:rPr>
              <w:t xml:space="preserve">1-150 </w:t>
            </w:r>
            <w:r w:rsidR="0042100E">
              <w:rPr>
                <w:b/>
                <w:sz w:val="18"/>
                <w:szCs w:val="18"/>
                <w:lang w:val="en-GB" w:eastAsia="ko-KR"/>
              </w:rPr>
              <w:t>Gaussian</w:t>
            </w:r>
          </w:p>
        </w:tc>
        <w:tc>
          <w:tcPr>
            <w:tcW w:w="2127" w:type="dxa"/>
            <w:tcBorders>
              <w:top w:val="single" w:sz="4" w:space="0" w:color="auto"/>
              <w:left w:val="single" w:sz="4" w:space="0" w:color="auto"/>
              <w:bottom w:val="single" w:sz="4" w:space="0" w:color="auto"/>
              <w:right w:val="single" w:sz="4" w:space="0" w:color="auto"/>
            </w:tcBorders>
          </w:tcPr>
          <w:p w14:paraId="75EAA1F3" w14:textId="77777777" w:rsidR="00D126B0" w:rsidRPr="00190198" w:rsidRDefault="00D126B0" w:rsidP="00D126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4553D37A" w14:textId="77777777" w:rsidR="00D126B0" w:rsidRPr="00190198" w:rsidRDefault="00D126B0" w:rsidP="00D126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3C179ABC" w14:textId="77777777" w:rsidR="00D126B0" w:rsidRPr="00190198" w:rsidRDefault="00D126B0" w:rsidP="00D126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0E1A546B" w14:textId="77777777" w:rsidR="00D126B0" w:rsidRPr="00190198" w:rsidRDefault="00D126B0" w:rsidP="00D126B0">
            <w:pPr>
              <w:rPr>
                <w:b/>
                <w:sz w:val="18"/>
                <w:szCs w:val="18"/>
                <w:lang w:val="en-GB" w:eastAsia="ko-KR"/>
              </w:rPr>
            </w:pPr>
          </w:p>
        </w:tc>
      </w:tr>
      <w:tr w:rsidR="00D126B0" w:rsidRPr="00190198" w14:paraId="1FE35CD1" w14:textId="23253350" w:rsidTr="00D126B0">
        <w:trPr>
          <w:jc w:val="center"/>
        </w:trPr>
        <w:tc>
          <w:tcPr>
            <w:tcW w:w="1129" w:type="dxa"/>
            <w:tcBorders>
              <w:top w:val="single" w:sz="4" w:space="0" w:color="auto"/>
              <w:left w:val="single" w:sz="4" w:space="0" w:color="auto"/>
              <w:bottom w:val="single" w:sz="4" w:space="0" w:color="auto"/>
              <w:right w:val="single" w:sz="4" w:space="0" w:color="auto"/>
            </w:tcBorders>
            <w:hideMark/>
          </w:tcPr>
          <w:p w14:paraId="31CDE607" w14:textId="7B10030E" w:rsidR="00D126B0" w:rsidRPr="00190198" w:rsidRDefault="00D126B0" w:rsidP="00D126B0">
            <w:pPr>
              <w:jc w:val="center"/>
              <w:rPr>
                <w:b/>
                <w:sz w:val="18"/>
                <w:szCs w:val="18"/>
                <w:lang w:val="en-GB" w:eastAsia="ko-KR"/>
              </w:rPr>
            </w:pPr>
            <w:r>
              <w:rPr>
                <w:b/>
                <w:sz w:val="18"/>
                <w:szCs w:val="18"/>
                <w:lang w:val="en-GB" w:eastAsia="ko-KR"/>
              </w:rPr>
              <w:t xml:space="preserve">1-500 </w:t>
            </w:r>
            <w:r w:rsidR="0042100E">
              <w:rPr>
                <w:b/>
                <w:sz w:val="18"/>
                <w:szCs w:val="18"/>
                <w:lang w:val="en-GB" w:eastAsia="ko-KR"/>
              </w:rPr>
              <w:t>Gaussian</w:t>
            </w:r>
          </w:p>
        </w:tc>
        <w:tc>
          <w:tcPr>
            <w:tcW w:w="2127" w:type="dxa"/>
            <w:tcBorders>
              <w:top w:val="single" w:sz="4" w:space="0" w:color="auto"/>
              <w:left w:val="single" w:sz="4" w:space="0" w:color="auto"/>
              <w:bottom w:val="single" w:sz="4" w:space="0" w:color="auto"/>
              <w:right w:val="single" w:sz="4" w:space="0" w:color="auto"/>
            </w:tcBorders>
          </w:tcPr>
          <w:p w14:paraId="42FE66D2" w14:textId="77777777" w:rsidR="00D126B0" w:rsidRPr="00190198" w:rsidRDefault="00D126B0" w:rsidP="00D126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34BB5CAF" w14:textId="77777777" w:rsidR="00D126B0" w:rsidRPr="00190198" w:rsidRDefault="00D126B0" w:rsidP="00D126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10E64A97" w14:textId="77777777" w:rsidR="00D126B0" w:rsidRPr="00190198" w:rsidRDefault="00D126B0" w:rsidP="00D126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652E3E81" w14:textId="77777777" w:rsidR="00D126B0" w:rsidRPr="00190198" w:rsidRDefault="00D126B0" w:rsidP="00D126B0">
            <w:pPr>
              <w:rPr>
                <w:b/>
                <w:sz w:val="18"/>
                <w:szCs w:val="18"/>
                <w:lang w:val="en-GB" w:eastAsia="ko-KR"/>
              </w:rPr>
            </w:pPr>
          </w:p>
        </w:tc>
      </w:tr>
    </w:tbl>
    <w:p w14:paraId="0A86F580" w14:textId="7D03BE7F" w:rsidR="00D126B0" w:rsidRDefault="00D126B0" w:rsidP="00D126B0">
      <w:pPr>
        <w:rPr>
          <w:rFonts w:ascii="Malgun Gothic" w:hAnsi="Malgun Gothic"/>
          <w:b/>
          <w:bCs/>
          <w:color w:val="000000"/>
          <w:sz w:val="26"/>
          <w:szCs w:val="26"/>
          <w:lang w:val="en-GB" w:eastAsia="ko-KR"/>
        </w:rPr>
      </w:pPr>
    </w:p>
    <w:tbl>
      <w:tblPr>
        <w:tblStyle w:val="Tabela-Siatka"/>
        <w:tblW w:w="0" w:type="auto"/>
        <w:jc w:val="center"/>
        <w:tblLook w:val="04A0" w:firstRow="1" w:lastRow="0" w:firstColumn="1" w:lastColumn="0" w:noHBand="0" w:noVBand="1"/>
      </w:tblPr>
      <w:tblGrid>
        <w:gridCol w:w="1129"/>
        <w:gridCol w:w="2127"/>
        <w:gridCol w:w="1842"/>
        <w:gridCol w:w="2482"/>
        <w:gridCol w:w="1743"/>
      </w:tblGrid>
      <w:tr w:rsidR="00DF24D1" w:rsidRPr="00190198" w14:paraId="7F4F1FEA" w14:textId="77777777" w:rsidTr="007613B0">
        <w:trPr>
          <w:trHeight w:val="591"/>
          <w:jc w:val="center"/>
        </w:trPr>
        <w:tc>
          <w:tcPr>
            <w:tcW w:w="9323" w:type="dxa"/>
            <w:gridSpan w:val="5"/>
            <w:tcBorders>
              <w:top w:val="single" w:sz="4" w:space="0" w:color="auto"/>
              <w:left w:val="single" w:sz="4" w:space="0" w:color="auto"/>
              <w:bottom w:val="single" w:sz="4" w:space="0" w:color="auto"/>
              <w:right w:val="single" w:sz="4" w:space="0" w:color="auto"/>
            </w:tcBorders>
          </w:tcPr>
          <w:p w14:paraId="3957FB44" w14:textId="7DBA900A" w:rsidR="00DF24D1" w:rsidRPr="00190198" w:rsidRDefault="00DF24D1" w:rsidP="007613B0">
            <w:pPr>
              <w:jc w:val="center"/>
              <w:rPr>
                <w:sz w:val="26"/>
                <w:szCs w:val="26"/>
                <w:lang w:val="en-GB" w:eastAsia="ko-KR"/>
              </w:rPr>
            </w:pPr>
            <w:r>
              <w:rPr>
                <w:sz w:val="26"/>
                <w:szCs w:val="26"/>
                <w:lang w:val="en-GB" w:eastAsia="ko-KR"/>
              </w:rPr>
              <w:t>Ring – inner diameter</w:t>
            </w:r>
          </w:p>
        </w:tc>
      </w:tr>
      <w:tr w:rsidR="00DF24D1" w:rsidRPr="00190198" w14:paraId="34CEE1FF" w14:textId="77777777" w:rsidTr="007613B0">
        <w:trPr>
          <w:trHeight w:val="591"/>
          <w:jc w:val="center"/>
        </w:trPr>
        <w:tc>
          <w:tcPr>
            <w:tcW w:w="1129" w:type="dxa"/>
            <w:tcBorders>
              <w:top w:val="single" w:sz="4" w:space="0" w:color="auto"/>
              <w:left w:val="single" w:sz="4" w:space="0" w:color="auto"/>
              <w:bottom w:val="single" w:sz="4" w:space="0" w:color="auto"/>
              <w:right w:val="single" w:sz="4" w:space="0" w:color="auto"/>
            </w:tcBorders>
            <w:hideMark/>
          </w:tcPr>
          <w:p w14:paraId="19884766" w14:textId="77777777" w:rsidR="00DF24D1" w:rsidRPr="00190198" w:rsidRDefault="00DF24D1" w:rsidP="007613B0">
            <w:pPr>
              <w:jc w:val="center"/>
              <w:rPr>
                <w:sz w:val="26"/>
                <w:szCs w:val="26"/>
                <w:lang w:val="en-GB" w:eastAsia="ko-KR"/>
              </w:rPr>
            </w:pPr>
            <w:r>
              <w:rPr>
                <w:sz w:val="26"/>
                <w:szCs w:val="26"/>
                <w:lang w:val="en-GB" w:eastAsia="ko-KR"/>
              </w:rPr>
              <w:t>Filter</w:t>
            </w:r>
          </w:p>
        </w:tc>
        <w:tc>
          <w:tcPr>
            <w:tcW w:w="2127" w:type="dxa"/>
            <w:tcBorders>
              <w:top w:val="single" w:sz="4" w:space="0" w:color="auto"/>
              <w:left w:val="single" w:sz="4" w:space="0" w:color="auto"/>
              <w:bottom w:val="single" w:sz="4" w:space="0" w:color="auto"/>
              <w:right w:val="single" w:sz="4" w:space="0" w:color="auto"/>
            </w:tcBorders>
            <w:hideMark/>
          </w:tcPr>
          <w:p w14:paraId="1C27E368" w14:textId="77777777" w:rsidR="00DF24D1" w:rsidRPr="00190198" w:rsidRDefault="00DF24D1" w:rsidP="007613B0">
            <w:pPr>
              <w:jc w:val="center"/>
              <w:rPr>
                <w:sz w:val="26"/>
                <w:szCs w:val="26"/>
                <w:lang w:val="en-GB" w:eastAsia="ko-KR"/>
              </w:rPr>
            </w:pPr>
            <w:r>
              <w:rPr>
                <w:sz w:val="26"/>
                <w:szCs w:val="26"/>
                <w:lang w:val="en-GB" w:eastAsia="ko-KR"/>
              </w:rPr>
              <w:t>Roundness deviation (LSCi) [</w:t>
            </w:r>
            <w:r w:rsidRPr="00190198">
              <w:rPr>
                <w:sz w:val="26"/>
                <w:szCs w:val="26"/>
                <w:lang w:val="en-GB" w:eastAsia="ko-KR"/>
              </w:rPr>
              <w:t>µ</w:t>
            </w:r>
            <w:r>
              <w:rPr>
                <w:sz w:val="26"/>
                <w:szCs w:val="26"/>
                <w:lang w:val="en-GB" w:eastAsia="ko-KR"/>
              </w:rPr>
              <w:t>m]</w:t>
            </w:r>
          </w:p>
        </w:tc>
        <w:tc>
          <w:tcPr>
            <w:tcW w:w="1842" w:type="dxa"/>
            <w:tcBorders>
              <w:top w:val="single" w:sz="4" w:space="0" w:color="auto"/>
              <w:left w:val="single" w:sz="4" w:space="0" w:color="auto"/>
              <w:bottom w:val="single" w:sz="4" w:space="0" w:color="auto"/>
              <w:right w:val="single" w:sz="4" w:space="0" w:color="auto"/>
            </w:tcBorders>
            <w:hideMark/>
          </w:tcPr>
          <w:p w14:paraId="414BCDF8" w14:textId="77777777" w:rsidR="00DF24D1" w:rsidRPr="00190198" w:rsidRDefault="00DF24D1" w:rsidP="007613B0">
            <w:pPr>
              <w:jc w:val="center"/>
              <w:rPr>
                <w:sz w:val="26"/>
                <w:szCs w:val="26"/>
                <w:lang w:val="en-GB" w:eastAsia="ko-KR"/>
              </w:rPr>
            </w:pPr>
            <w:r w:rsidRPr="00190198">
              <w:rPr>
                <w:sz w:val="26"/>
                <w:szCs w:val="26"/>
                <w:lang w:val="en-GB" w:eastAsia="ko-KR"/>
              </w:rPr>
              <w:t xml:space="preserve">Standard uncertainty </w:t>
            </w:r>
            <w:r>
              <w:rPr>
                <w:sz w:val="26"/>
                <w:szCs w:val="26"/>
                <w:lang w:val="en-GB" w:eastAsia="ko-KR"/>
              </w:rPr>
              <w:t>[</w:t>
            </w:r>
            <w:r w:rsidRPr="00190198">
              <w:rPr>
                <w:sz w:val="26"/>
                <w:szCs w:val="26"/>
                <w:lang w:val="en-GB" w:eastAsia="ko-KR"/>
              </w:rPr>
              <w:t>µ</w:t>
            </w:r>
            <w:r>
              <w:rPr>
                <w:sz w:val="26"/>
                <w:szCs w:val="26"/>
                <w:lang w:val="en-GB" w:eastAsia="ko-KR"/>
              </w:rPr>
              <w:t>m]</w:t>
            </w:r>
          </w:p>
        </w:tc>
        <w:tc>
          <w:tcPr>
            <w:tcW w:w="2482" w:type="dxa"/>
            <w:tcBorders>
              <w:top w:val="single" w:sz="4" w:space="0" w:color="auto"/>
              <w:left w:val="single" w:sz="4" w:space="0" w:color="auto"/>
              <w:bottom w:val="single" w:sz="4" w:space="0" w:color="auto"/>
              <w:right w:val="single" w:sz="4" w:space="0" w:color="auto"/>
            </w:tcBorders>
          </w:tcPr>
          <w:p w14:paraId="14297DFC" w14:textId="77777777" w:rsidR="00DF24D1" w:rsidRPr="00190198" w:rsidRDefault="00DF24D1" w:rsidP="007613B0">
            <w:pPr>
              <w:jc w:val="center"/>
              <w:rPr>
                <w:sz w:val="26"/>
                <w:szCs w:val="26"/>
                <w:lang w:val="en-GB" w:eastAsia="ko-KR"/>
              </w:rPr>
            </w:pPr>
            <w:r>
              <w:rPr>
                <w:sz w:val="26"/>
                <w:szCs w:val="26"/>
                <w:lang w:val="en-GB" w:eastAsia="ko-KR"/>
              </w:rPr>
              <w:t>Roundness deviation (MZCi)</w:t>
            </w:r>
            <w:r>
              <w:rPr>
                <w:sz w:val="26"/>
                <w:szCs w:val="26"/>
                <w:lang w:val="en-GB" w:eastAsia="ko-KR"/>
              </w:rPr>
              <w:br/>
              <w:t>[</w:t>
            </w:r>
            <w:r w:rsidRPr="00190198">
              <w:rPr>
                <w:sz w:val="26"/>
                <w:szCs w:val="26"/>
                <w:lang w:val="en-GB" w:eastAsia="ko-KR"/>
              </w:rPr>
              <w:t>µ</w:t>
            </w:r>
            <w:r>
              <w:rPr>
                <w:sz w:val="26"/>
                <w:szCs w:val="26"/>
                <w:lang w:val="en-GB" w:eastAsia="ko-KR"/>
              </w:rPr>
              <w:t>m]</w:t>
            </w:r>
          </w:p>
        </w:tc>
        <w:tc>
          <w:tcPr>
            <w:tcW w:w="1743" w:type="dxa"/>
            <w:tcBorders>
              <w:top w:val="single" w:sz="4" w:space="0" w:color="auto"/>
              <w:left w:val="single" w:sz="4" w:space="0" w:color="auto"/>
              <w:bottom w:val="single" w:sz="4" w:space="0" w:color="auto"/>
              <w:right w:val="single" w:sz="4" w:space="0" w:color="auto"/>
            </w:tcBorders>
          </w:tcPr>
          <w:p w14:paraId="16D2ECB0" w14:textId="77777777" w:rsidR="00DF24D1" w:rsidRPr="00190198" w:rsidRDefault="00DF24D1" w:rsidP="007613B0">
            <w:pPr>
              <w:jc w:val="center"/>
              <w:rPr>
                <w:sz w:val="26"/>
                <w:szCs w:val="26"/>
                <w:lang w:val="en-GB" w:eastAsia="ko-KR"/>
              </w:rPr>
            </w:pPr>
            <w:r w:rsidRPr="00190198">
              <w:rPr>
                <w:sz w:val="26"/>
                <w:szCs w:val="26"/>
                <w:lang w:val="en-GB" w:eastAsia="ko-KR"/>
              </w:rPr>
              <w:t xml:space="preserve">Standard uncertainty   </w:t>
            </w:r>
            <w:r>
              <w:rPr>
                <w:sz w:val="26"/>
                <w:szCs w:val="26"/>
                <w:lang w:val="en-GB" w:eastAsia="ko-KR"/>
              </w:rPr>
              <w:t>[</w:t>
            </w:r>
            <w:r w:rsidRPr="00190198">
              <w:rPr>
                <w:sz w:val="26"/>
                <w:szCs w:val="26"/>
                <w:lang w:val="en-GB" w:eastAsia="ko-KR"/>
              </w:rPr>
              <w:t>µ</w:t>
            </w:r>
            <w:r>
              <w:rPr>
                <w:sz w:val="26"/>
                <w:szCs w:val="26"/>
                <w:lang w:val="en-GB" w:eastAsia="ko-KR"/>
              </w:rPr>
              <w:t>m]</w:t>
            </w:r>
          </w:p>
        </w:tc>
      </w:tr>
      <w:tr w:rsidR="00DF24D1" w:rsidRPr="00190198" w14:paraId="5603E02E" w14:textId="77777777" w:rsidTr="007613B0">
        <w:trPr>
          <w:jc w:val="center"/>
        </w:trPr>
        <w:tc>
          <w:tcPr>
            <w:tcW w:w="1129" w:type="dxa"/>
            <w:tcBorders>
              <w:top w:val="single" w:sz="4" w:space="0" w:color="auto"/>
              <w:left w:val="single" w:sz="4" w:space="0" w:color="auto"/>
              <w:bottom w:val="single" w:sz="4" w:space="0" w:color="auto"/>
              <w:right w:val="single" w:sz="4" w:space="0" w:color="auto"/>
            </w:tcBorders>
            <w:hideMark/>
          </w:tcPr>
          <w:p w14:paraId="7FC0C71A" w14:textId="44D4B408" w:rsidR="00DF24D1" w:rsidRPr="00190198" w:rsidRDefault="00DF24D1" w:rsidP="007613B0">
            <w:pPr>
              <w:jc w:val="center"/>
              <w:rPr>
                <w:b/>
                <w:sz w:val="18"/>
                <w:szCs w:val="18"/>
                <w:lang w:val="en-GB" w:eastAsia="ko-KR"/>
              </w:rPr>
            </w:pPr>
            <w:r>
              <w:rPr>
                <w:b/>
                <w:sz w:val="18"/>
                <w:szCs w:val="18"/>
                <w:lang w:val="en-GB" w:eastAsia="ko-KR"/>
              </w:rPr>
              <w:t xml:space="preserve">1-15 </w:t>
            </w:r>
            <w:r w:rsidR="0042100E">
              <w:rPr>
                <w:b/>
                <w:sz w:val="18"/>
                <w:szCs w:val="18"/>
                <w:lang w:val="en-GB" w:eastAsia="ko-KR"/>
              </w:rPr>
              <w:t>Gaussian</w:t>
            </w:r>
          </w:p>
        </w:tc>
        <w:tc>
          <w:tcPr>
            <w:tcW w:w="2127" w:type="dxa"/>
            <w:tcBorders>
              <w:top w:val="single" w:sz="4" w:space="0" w:color="auto"/>
              <w:left w:val="single" w:sz="4" w:space="0" w:color="auto"/>
              <w:bottom w:val="single" w:sz="4" w:space="0" w:color="auto"/>
              <w:right w:val="single" w:sz="4" w:space="0" w:color="auto"/>
            </w:tcBorders>
          </w:tcPr>
          <w:p w14:paraId="21A33DFD" w14:textId="77777777" w:rsidR="00DF24D1" w:rsidRPr="00190198" w:rsidRDefault="00DF24D1" w:rsidP="007613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0E8DCB09" w14:textId="77777777" w:rsidR="00DF24D1" w:rsidRPr="00190198" w:rsidRDefault="00DF24D1" w:rsidP="007613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70B2CD9E" w14:textId="77777777" w:rsidR="00DF24D1" w:rsidRPr="00190198" w:rsidRDefault="00DF24D1" w:rsidP="007613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16870CD4" w14:textId="77777777" w:rsidR="00DF24D1" w:rsidRPr="00190198" w:rsidRDefault="00DF24D1" w:rsidP="007613B0">
            <w:pPr>
              <w:rPr>
                <w:b/>
                <w:sz w:val="18"/>
                <w:szCs w:val="18"/>
                <w:lang w:val="en-GB" w:eastAsia="ko-KR"/>
              </w:rPr>
            </w:pPr>
          </w:p>
        </w:tc>
      </w:tr>
      <w:tr w:rsidR="00DF24D1" w:rsidRPr="00190198" w14:paraId="004090DA" w14:textId="77777777" w:rsidTr="007613B0">
        <w:trPr>
          <w:jc w:val="center"/>
        </w:trPr>
        <w:tc>
          <w:tcPr>
            <w:tcW w:w="1129" w:type="dxa"/>
            <w:tcBorders>
              <w:top w:val="single" w:sz="4" w:space="0" w:color="auto"/>
              <w:left w:val="single" w:sz="4" w:space="0" w:color="auto"/>
              <w:bottom w:val="single" w:sz="4" w:space="0" w:color="auto"/>
              <w:right w:val="single" w:sz="4" w:space="0" w:color="auto"/>
            </w:tcBorders>
            <w:hideMark/>
          </w:tcPr>
          <w:p w14:paraId="6DBC2345" w14:textId="44540EA6" w:rsidR="00DF24D1" w:rsidRPr="00190198" w:rsidRDefault="00DF24D1" w:rsidP="007613B0">
            <w:pPr>
              <w:jc w:val="center"/>
              <w:rPr>
                <w:b/>
                <w:sz w:val="18"/>
                <w:szCs w:val="18"/>
                <w:lang w:val="en-GB" w:eastAsia="ko-KR"/>
              </w:rPr>
            </w:pPr>
            <w:r>
              <w:rPr>
                <w:b/>
                <w:sz w:val="18"/>
                <w:szCs w:val="18"/>
                <w:lang w:val="en-GB" w:eastAsia="ko-KR"/>
              </w:rPr>
              <w:t xml:space="preserve">1-50 </w:t>
            </w:r>
            <w:r w:rsidR="0042100E">
              <w:rPr>
                <w:b/>
                <w:sz w:val="18"/>
                <w:szCs w:val="18"/>
                <w:lang w:val="en-GB" w:eastAsia="ko-KR"/>
              </w:rPr>
              <w:t>Gaussian</w:t>
            </w:r>
          </w:p>
        </w:tc>
        <w:tc>
          <w:tcPr>
            <w:tcW w:w="2127" w:type="dxa"/>
            <w:tcBorders>
              <w:top w:val="single" w:sz="4" w:space="0" w:color="auto"/>
              <w:left w:val="single" w:sz="4" w:space="0" w:color="auto"/>
              <w:bottom w:val="single" w:sz="4" w:space="0" w:color="auto"/>
              <w:right w:val="single" w:sz="4" w:space="0" w:color="auto"/>
            </w:tcBorders>
          </w:tcPr>
          <w:p w14:paraId="65A1F0BF" w14:textId="77777777" w:rsidR="00DF24D1" w:rsidRPr="00190198" w:rsidRDefault="00DF24D1" w:rsidP="007613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109DB1C5" w14:textId="77777777" w:rsidR="00DF24D1" w:rsidRPr="00190198" w:rsidRDefault="00DF24D1" w:rsidP="007613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0CB99901" w14:textId="77777777" w:rsidR="00DF24D1" w:rsidRPr="00190198" w:rsidRDefault="00DF24D1" w:rsidP="007613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472F64F3" w14:textId="77777777" w:rsidR="00DF24D1" w:rsidRPr="00190198" w:rsidRDefault="00DF24D1" w:rsidP="007613B0">
            <w:pPr>
              <w:rPr>
                <w:b/>
                <w:sz w:val="18"/>
                <w:szCs w:val="18"/>
                <w:lang w:val="en-GB" w:eastAsia="ko-KR"/>
              </w:rPr>
            </w:pPr>
          </w:p>
        </w:tc>
      </w:tr>
      <w:tr w:rsidR="00DF24D1" w:rsidRPr="00190198" w14:paraId="73AF9B1F" w14:textId="77777777" w:rsidTr="007613B0">
        <w:trPr>
          <w:jc w:val="center"/>
        </w:trPr>
        <w:tc>
          <w:tcPr>
            <w:tcW w:w="1129" w:type="dxa"/>
            <w:tcBorders>
              <w:top w:val="single" w:sz="4" w:space="0" w:color="auto"/>
              <w:left w:val="single" w:sz="4" w:space="0" w:color="auto"/>
              <w:bottom w:val="single" w:sz="4" w:space="0" w:color="auto"/>
              <w:right w:val="single" w:sz="4" w:space="0" w:color="auto"/>
            </w:tcBorders>
            <w:hideMark/>
          </w:tcPr>
          <w:p w14:paraId="4801B51D" w14:textId="1EBF9EF5" w:rsidR="00DF24D1" w:rsidRPr="00190198" w:rsidRDefault="00DF24D1" w:rsidP="007613B0">
            <w:pPr>
              <w:jc w:val="center"/>
              <w:rPr>
                <w:b/>
                <w:sz w:val="18"/>
                <w:szCs w:val="18"/>
                <w:lang w:val="en-GB" w:eastAsia="ko-KR"/>
              </w:rPr>
            </w:pPr>
            <w:r>
              <w:rPr>
                <w:b/>
                <w:sz w:val="18"/>
                <w:szCs w:val="18"/>
                <w:lang w:val="en-GB" w:eastAsia="ko-KR"/>
              </w:rPr>
              <w:lastRenderedPageBreak/>
              <w:t xml:space="preserve">1-150 </w:t>
            </w:r>
            <w:r w:rsidR="0042100E">
              <w:rPr>
                <w:b/>
                <w:sz w:val="18"/>
                <w:szCs w:val="18"/>
                <w:lang w:val="en-GB" w:eastAsia="ko-KR"/>
              </w:rPr>
              <w:t>Gaussian</w:t>
            </w:r>
          </w:p>
        </w:tc>
        <w:tc>
          <w:tcPr>
            <w:tcW w:w="2127" w:type="dxa"/>
            <w:tcBorders>
              <w:top w:val="single" w:sz="4" w:space="0" w:color="auto"/>
              <w:left w:val="single" w:sz="4" w:space="0" w:color="auto"/>
              <w:bottom w:val="single" w:sz="4" w:space="0" w:color="auto"/>
              <w:right w:val="single" w:sz="4" w:space="0" w:color="auto"/>
            </w:tcBorders>
          </w:tcPr>
          <w:p w14:paraId="048E030A" w14:textId="77777777" w:rsidR="00DF24D1" w:rsidRPr="00190198" w:rsidRDefault="00DF24D1" w:rsidP="007613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57174EE7" w14:textId="77777777" w:rsidR="00DF24D1" w:rsidRPr="00190198" w:rsidRDefault="00DF24D1" w:rsidP="007613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343ADD91" w14:textId="77777777" w:rsidR="00DF24D1" w:rsidRPr="00190198" w:rsidRDefault="00DF24D1" w:rsidP="007613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5152E1DC" w14:textId="77777777" w:rsidR="00DF24D1" w:rsidRPr="00190198" w:rsidRDefault="00DF24D1" w:rsidP="007613B0">
            <w:pPr>
              <w:rPr>
                <w:b/>
                <w:sz w:val="18"/>
                <w:szCs w:val="18"/>
                <w:lang w:val="en-GB" w:eastAsia="ko-KR"/>
              </w:rPr>
            </w:pPr>
          </w:p>
        </w:tc>
      </w:tr>
      <w:tr w:rsidR="00DF24D1" w:rsidRPr="00190198" w14:paraId="06461A26" w14:textId="77777777" w:rsidTr="007613B0">
        <w:trPr>
          <w:jc w:val="center"/>
        </w:trPr>
        <w:tc>
          <w:tcPr>
            <w:tcW w:w="1129" w:type="dxa"/>
            <w:tcBorders>
              <w:top w:val="single" w:sz="4" w:space="0" w:color="auto"/>
              <w:left w:val="single" w:sz="4" w:space="0" w:color="auto"/>
              <w:bottom w:val="single" w:sz="4" w:space="0" w:color="auto"/>
              <w:right w:val="single" w:sz="4" w:space="0" w:color="auto"/>
            </w:tcBorders>
            <w:hideMark/>
          </w:tcPr>
          <w:p w14:paraId="32DEEB2D" w14:textId="0102D5C8" w:rsidR="00DF24D1" w:rsidRPr="00190198" w:rsidRDefault="00DF24D1" w:rsidP="007613B0">
            <w:pPr>
              <w:jc w:val="center"/>
              <w:rPr>
                <w:b/>
                <w:sz w:val="18"/>
                <w:szCs w:val="18"/>
                <w:lang w:val="en-GB" w:eastAsia="ko-KR"/>
              </w:rPr>
            </w:pPr>
            <w:r>
              <w:rPr>
                <w:b/>
                <w:sz w:val="18"/>
                <w:szCs w:val="18"/>
                <w:lang w:val="en-GB" w:eastAsia="ko-KR"/>
              </w:rPr>
              <w:t xml:space="preserve">1-500 </w:t>
            </w:r>
            <w:r w:rsidR="0042100E">
              <w:rPr>
                <w:b/>
                <w:sz w:val="18"/>
                <w:szCs w:val="18"/>
                <w:lang w:val="en-GB" w:eastAsia="ko-KR"/>
              </w:rPr>
              <w:t>Gaussian</w:t>
            </w:r>
          </w:p>
        </w:tc>
        <w:tc>
          <w:tcPr>
            <w:tcW w:w="2127" w:type="dxa"/>
            <w:tcBorders>
              <w:top w:val="single" w:sz="4" w:space="0" w:color="auto"/>
              <w:left w:val="single" w:sz="4" w:space="0" w:color="auto"/>
              <w:bottom w:val="single" w:sz="4" w:space="0" w:color="auto"/>
              <w:right w:val="single" w:sz="4" w:space="0" w:color="auto"/>
            </w:tcBorders>
          </w:tcPr>
          <w:p w14:paraId="2CF0DB04" w14:textId="77777777" w:rsidR="00DF24D1" w:rsidRPr="00190198" w:rsidRDefault="00DF24D1" w:rsidP="007613B0">
            <w:pPr>
              <w:rPr>
                <w:b/>
                <w:sz w:val="18"/>
                <w:szCs w:val="18"/>
                <w:lang w:val="en-GB" w:eastAsia="ko-KR"/>
              </w:rPr>
            </w:pPr>
          </w:p>
        </w:tc>
        <w:tc>
          <w:tcPr>
            <w:tcW w:w="1842" w:type="dxa"/>
            <w:tcBorders>
              <w:top w:val="single" w:sz="4" w:space="0" w:color="auto"/>
              <w:left w:val="single" w:sz="4" w:space="0" w:color="auto"/>
              <w:bottom w:val="single" w:sz="4" w:space="0" w:color="auto"/>
              <w:right w:val="single" w:sz="4" w:space="0" w:color="auto"/>
            </w:tcBorders>
          </w:tcPr>
          <w:p w14:paraId="2F0EEEBD" w14:textId="77777777" w:rsidR="00DF24D1" w:rsidRPr="00190198" w:rsidRDefault="00DF24D1" w:rsidP="007613B0">
            <w:pPr>
              <w:rPr>
                <w:b/>
                <w:sz w:val="18"/>
                <w:szCs w:val="18"/>
                <w:lang w:val="en-GB" w:eastAsia="ko-KR"/>
              </w:rPr>
            </w:pPr>
          </w:p>
        </w:tc>
        <w:tc>
          <w:tcPr>
            <w:tcW w:w="2482" w:type="dxa"/>
            <w:tcBorders>
              <w:top w:val="single" w:sz="4" w:space="0" w:color="auto"/>
              <w:left w:val="single" w:sz="4" w:space="0" w:color="auto"/>
              <w:bottom w:val="single" w:sz="4" w:space="0" w:color="auto"/>
              <w:right w:val="single" w:sz="4" w:space="0" w:color="auto"/>
            </w:tcBorders>
          </w:tcPr>
          <w:p w14:paraId="6AE98AAB" w14:textId="77777777" w:rsidR="00DF24D1" w:rsidRPr="00190198" w:rsidRDefault="00DF24D1" w:rsidP="007613B0">
            <w:pPr>
              <w:rPr>
                <w:b/>
                <w:sz w:val="18"/>
                <w:szCs w:val="18"/>
                <w:lang w:val="en-GB" w:eastAsia="ko-KR"/>
              </w:rPr>
            </w:pPr>
          </w:p>
        </w:tc>
        <w:tc>
          <w:tcPr>
            <w:tcW w:w="1743" w:type="dxa"/>
            <w:tcBorders>
              <w:top w:val="single" w:sz="4" w:space="0" w:color="auto"/>
              <w:left w:val="single" w:sz="4" w:space="0" w:color="auto"/>
              <w:bottom w:val="single" w:sz="4" w:space="0" w:color="auto"/>
              <w:right w:val="single" w:sz="4" w:space="0" w:color="auto"/>
            </w:tcBorders>
          </w:tcPr>
          <w:p w14:paraId="1C79C34D" w14:textId="77777777" w:rsidR="00DF24D1" w:rsidRPr="00190198" w:rsidRDefault="00DF24D1" w:rsidP="007613B0">
            <w:pPr>
              <w:rPr>
                <w:b/>
                <w:sz w:val="18"/>
                <w:szCs w:val="18"/>
                <w:lang w:val="en-GB" w:eastAsia="ko-KR"/>
              </w:rPr>
            </w:pPr>
          </w:p>
        </w:tc>
      </w:tr>
    </w:tbl>
    <w:p w14:paraId="1436A1BC" w14:textId="77777777" w:rsidR="0042100E" w:rsidRDefault="0042100E" w:rsidP="0042100E">
      <w:pPr>
        <w:pStyle w:val="Akapitzlist"/>
        <w:ind w:left="357"/>
        <w:rPr>
          <w:rFonts w:asciiTheme="minorHAnsi" w:hAnsiTheme="minorHAnsi" w:cstheme="minorHAnsi"/>
          <w:b/>
          <w:bCs/>
          <w:color w:val="000000"/>
          <w:szCs w:val="22"/>
          <w:lang w:val="en-GB"/>
        </w:rPr>
      </w:pPr>
    </w:p>
    <w:p w14:paraId="352AADD6" w14:textId="0EE76731" w:rsidR="00D126B0" w:rsidRPr="00D126B0" w:rsidRDefault="00D126B0" w:rsidP="00D126B0">
      <w:pPr>
        <w:pStyle w:val="Akapitzlist"/>
        <w:numPr>
          <w:ilvl w:val="3"/>
          <w:numId w:val="4"/>
        </w:numPr>
        <w:ind w:left="357" w:hanging="357"/>
        <w:rPr>
          <w:rFonts w:asciiTheme="minorHAnsi" w:hAnsiTheme="minorHAnsi" w:cstheme="minorHAnsi"/>
          <w:b/>
          <w:szCs w:val="22"/>
          <w:lang w:val="en-GB" w:eastAsia="ko-KR"/>
        </w:rPr>
      </w:pPr>
      <w:r w:rsidRPr="00190198">
        <w:rPr>
          <w:rFonts w:asciiTheme="minorHAnsi" w:hAnsiTheme="minorHAnsi" w:cstheme="minorHAnsi"/>
          <w:b/>
          <w:bCs/>
          <w:color w:val="000000"/>
          <w:szCs w:val="22"/>
          <w:lang w:val="en-GB"/>
        </w:rPr>
        <w:t xml:space="preserve">Measurement </w:t>
      </w:r>
      <w:r>
        <w:rPr>
          <w:rFonts w:asciiTheme="minorHAnsi" w:hAnsiTheme="minorHAnsi" w:cstheme="minorHAnsi"/>
          <w:b/>
          <w:bCs/>
          <w:color w:val="000000"/>
          <w:szCs w:val="22"/>
          <w:lang w:val="en-GB"/>
        </w:rPr>
        <w:t>conditions</w:t>
      </w:r>
    </w:p>
    <w:tbl>
      <w:tblPr>
        <w:tblStyle w:val="Tabela-Siatka"/>
        <w:tblW w:w="0" w:type="auto"/>
        <w:jc w:val="center"/>
        <w:tblLook w:val="04A0" w:firstRow="1" w:lastRow="0" w:firstColumn="1" w:lastColumn="0" w:noHBand="0" w:noVBand="1"/>
      </w:tblPr>
      <w:tblGrid>
        <w:gridCol w:w="4173"/>
        <w:gridCol w:w="2208"/>
      </w:tblGrid>
      <w:tr w:rsidR="00DF24D1" w:rsidRPr="00190198" w14:paraId="3E5F736C" w14:textId="77777777" w:rsidTr="00D247BC">
        <w:trPr>
          <w:trHeight w:val="591"/>
          <w:jc w:val="center"/>
        </w:trPr>
        <w:tc>
          <w:tcPr>
            <w:tcW w:w="6381" w:type="dxa"/>
            <w:gridSpan w:val="2"/>
            <w:tcBorders>
              <w:top w:val="single" w:sz="4" w:space="0" w:color="auto"/>
              <w:left w:val="single" w:sz="4" w:space="0" w:color="auto"/>
              <w:bottom w:val="single" w:sz="4" w:space="0" w:color="auto"/>
              <w:right w:val="single" w:sz="4" w:space="0" w:color="auto"/>
            </w:tcBorders>
          </w:tcPr>
          <w:p w14:paraId="0C053218" w14:textId="7D71FEA0" w:rsidR="00DF24D1" w:rsidRDefault="00DF24D1" w:rsidP="00E47032">
            <w:pPr>
              <w:jc w:val="center"/>
              <w:rPr>
                <w:sz w:val="26"/>
                <w:szCs w:val="26"/>
                <w:lang w:val="en-GB" w:eastAsia="ko-KR"/>
              </w:rPr>
            </w:pPr>
            <w:r>
              <w:rPr>
                <w:sz w:val="26"/>
                <w:szCs w:val="26"/>
                <w:lang w:val="en-GB" w:eastAsia="ko-KR"/>
              </w:rPr>
              <w:t>Sphere – outer diameter</w:t>
            </w:r>
          </w:p>
        </w:tc>
      </w:tr>
      <w:tr w:rsidR="00D126B0" w:rsidRPr="00190198" w14:paraId="4E3D0CFB" w14:textId="77777777" w:rsidTr="00D126B0">
        <w:trPr>
          <w:trHeight w:val="591"/>
          <w:jc w:val="center"/>
        </w:trPr>
        <w:tc>
          <w:tcPr>
            <w:tcW w:w="4173" w:type="dxa"/>
            <w:tcBorders>
              <w:top w:val="single" w:sz="4" w:space="0" w:color="auto"/>
              <w:left w:val="single" w:sz="4" w:space="0" w:color="auto"/>
              <w:bottom w:val="single" w:sz="4" w:space="0" w:color="auto"/>
              <w:right w:val="single" w:sz="4" w:space="0" w:color="auto"/>
            </w:tcBorders>
            <w:hideMark/>
          </w:tcPr>
          <w:p w14:paraId="2A2BF948" w14:textId="3E04BCFB" w:rsidR="00D126B0" w:rsidRPr="00190198" w:rsidRDefault="00D126B0" w:rsidP="00E47032">
            <w:pPr>
              <w:jc w:val="center"/>
              <w:rPr>
                <w:sz w:val="26"/>
                <w:szCs w:val="26"/>
                <w:lang w:val="en-GB" w:eastAsia="ko-KR"/>
              </w:rPr>
            </w:pPr>
            <w:r>
              <w:rPr>
                <w:sz w:val="26"/>
                <w:szCs w:val="26"/>
                <w:lang w:val="en-GB" w:eastAsia="ko-KR"/>
              </w:rPr>
              <w:t>Set-up</w:t>
            </w:r>
          </w:p>
        </w:tc>
        <w:tc>
          <w:tcPr>
            <w:tcW w:w="2208" w:type="dxa"/>
            <w:tcBorders>
              <w:top w:val="single" w:sz="4" w:space="0" w:color="auto"/>
              <w:left w:val="single" w:sz="4" w:space="0" w:color="auto"/>
              <w:bottom w:val="single" w:sz="4" w:space="0" w:color="auto"/>
              <w:right w:val="single" w:sz="4" w:space="0" w:color="auto"/>
            </w:tcBorders>
            <w:hideMark/>
          </w:tcPr>
          <w:p w14:paraId="740711A6" w14:textId="33B0B81B" w:rsidR="00D126B0" w:rsidRPr="00D126B0" w:rsidRDefault="00D126B0" w:rsidP="00E47032">
            <w:pPr>
              <w:jc w:val="center"/>
              <w:rPr>
                <w:sz w:val="26"/>
                <w:szCs w:val="26"/>
                <w:lang w:val="en-GB" w:eastAsia="ko-KR"/>
              </w:rPr>
            </w:pPr>
            <w:r>
              <w:rPr>
                <w:sz w:val="26"/>
                <w:szCs w:val="26"/>
                <w:lang w:val="en-GB" w:eastAsia="ko-KR"/>
              </w:rPr>
              <w:t>Detail</w:t>
            </w:r>
          </w:p>
        </w:tc>
      </w:tr>
      <w:tr w:rsidR="00D126B0" w:rsidRPr="00190198" w14:paraId="32FBDDB9" w14:textId="77777777" w:rsidTr="00D126B0">
        <w:trPr>
          <w:jc w:val="center"/>
        </w:trPr>
        <w:tc>
          <w:tcPr>
            <w:tcW w:w="4173" w:type="dxa"/>
            <w:tcBorders>
              <w:top w:val="single" w:sz="4" w:space="0" w:color="auto"/>
              <w:left w:val="single" w:sz="4" w:space="0" w:color="auto"/>
              <w:bottom w:val="single" w:sz="4" w:space="0" w:color="auto"/>
              <w:right w:val="single" w:sz="4" w:space="0" w:color="auto"/>
            </w:tcBorders>
            <w:hideMark/>
          </w:tcPr>
          <w:p w14:paraId="1727E6CE" w14:textId="7814AEB5" w:rsidR="00D126B0" w:rsidRPr="00190198" w:rsidRDefault="00D126B0" w:rsidP="00E47032">
            <w:pPr>
              <w:jc w:val="center"/>
              <w:rPr>
                <w:b/>
                <w:sz w:val="18"/>
                <w:szCs w:val="18"/>
                <w:lang w:val="en-GB" w:eastAsia="ko-KR"/>
              </w:rPr>
            </w:pPr>
            <w:r>
              <w:rPr>
                <w:b/>
                <w:sz w:val="18"/>
                <w:szCs w:val="18"/>
                <w:lang w:val="en-GB" w:eastAsia="ko-KR"/>
              </w:rPr>
              <w:t>Rotating workpiece or probe (CW or CCW)</w:t>
            </w:r>
          </w:p>
        </w:tc>
        <w:tc>
          <w:tcPr>
            <w:tcW w:w="2208" w:type="dxa"/>
            <w:tcBorders>
              <w:top w:val="single" w:sz="4" w:space="0" w:color="auto"/>
              <w:left w:val="single" w:sz="4" w:space="0" w:color="auto"/>
              <w:bottom w:val="single" w:sz="4" w:space="0" w:color="auto"/>
              <w:right w:val="single" w:sz="4" w:space="0" w:color="auto"/>
            </w:tcBorders>
          </w:tcPr>
          <w:p w14:paraId="70CE3CB5" w14:textId="77777777" w:rsidR="00D126B0" w:rsidRPr="00190198" w:rsidRDefault="00D126B0" w:rsidP="00E47032">
            <w:pPr>
              <w:rPr>
                <w:b/>
                <w:sz w:val="18"/>
                <w:szCs w:val="18"/>
                <w:lang w:val="en-GB" w:eastAsia="ko-KR"/>
              </w:rPr>
            </w:pPr>
          </w:p>
        </w:tc>
      </w:tr>
      <w:tr w:rsidR="00D126B0" w:rsidRPr="00190198" w14:paraId="180222C1" w14:textId="77777777" w:rsidTr="00D126B0">
        <w:trPr>
          <w:jc w:val="center"/>
        </w:trPr>
        <w:tc>
          <w:tcPr>
            <w:tcW w:w="4173" w:type="dxa"/>
            <w:tcBorders>
              <w:top w:val="single" w:sz="4" w:space="0" w:color="auto"/>
              <w:left w:val="single" w:sz="4" w:space="0" w:color="auto"/>
              <w:bottom w:val="single" w:sz="4" w:space="0" w:color="auto"/>
              <w:right w:val="single" w:sz="4" w:space="0" w:color="auto"/>
            </w:tcBorders>
            <w:hideMark/>
          </w:tcPr>
          <w:p w14:paraId="0375C054" w14:textId="4B88A3E2" w:rsidR="00D126B0" w:rsidRPr="00190198" w:rsidRDefault="00D126B0" w:rsidP="00E47032">
            <w:pPr>
              <w:jc w:val="center"/>
              <w:rPr>
                <w:b/>
                <w:sz w:val="18"/>
                <w:szCs w:val="18"/>
                <w:lang w:val="en-GB" w:eastAsia="ko-KR"/>
              </w:rPr>
            </w:pPr>
            <w:r>
              <w:rPr>
                <w:b/>
                <w:sz w:val="18"/>
                <w:szCs w:val="18"/>
                <w:lang w:val="en-GB" w:eastAsia="ko-KR"/>
              </w:rPr>
              <w:t>Rotation speed (rev/min)</w:t>
            </w:r>
          </w:p>
        </w:tc>
        <w:tc>
          <w:tcPr>
            <w:tcW w:w="2208" w:type="dxa"/>
            <w:tcBorders>
              <w:top w:val="single" w:sz="4" w:space="0" w:color="auto"/>
              <w:left w:val="single" w:sz="4" w:space="0" w:color="auto"/>
              <w:bottom w:val="single" w:sz="4" w:space="0" w:color="auto"/>
              <w:right w:val="single" w:sz="4" w:space="0" w:color="auto"/>
            </w:tcBorders>
          </w:tcPr>
          <w:p w14:paraId="575FF9E1" w14:textId="77777777" w:rsidR="00D126B0" w:rsidRPr="00190198" w:rsidRDefault="00D126B0" w:rsidP="00E47032">
            <w:pPr>
              <w:rPr>
                <w:b/>
                <w:sz w:val="18"/>
                <w:szCs w:val="18"/>
                <w:lang w:val="en-GB" w:eastAsia="ko-KR"/>
              </w:rPr>
            </w:pPr>
          </w:p>
        </w:tc>
      </w:tr>
      <w:tr w:rsidR="00D126B0" w:rsidRPr="00190198" w14:paraId="176CC8BC" w14:textId="77777777" w:rsidTr="00D126B0">
        <w:trPr>
          <w:jc w:val="center"/>
        </w:trPr>
        <w:tc>
          <w:tcPr>
            <w:tcW w:w="4173" w:type="dxa"/>
            <w:tcBorders>
              <w:top w:val="single" w:sz="4" w:space="0" w:color="auto"/>
              <w:left w:val="single" w:sz="4" w:space="0" w:color="auto"/>
              <w:bottom w:val="single" w:sz="4" w:space="0" w:color="auto"/>
              <w:right w:val="single" w:sz="4" w:space="0" w:color="auto"/>
            </w:tcBorders>
            <w:hideMark/>
          </w:tcPr>
          <w:p w14:paraId="24FBFCD0" w14:textId="537D7719" w:rsidR="00D126B0" w:rsidRPr="00190198" w:rsidRDefault="00D126B0" w:rsidP="00E47032">
            <w:pPr>
              <w:jc w:val="center"/>
              <w:rPr>
                <w:b/>
                <w:sz w:val="18"/>
                <w:szCs w:val="18"/>
                <w:lang w:val="en-GB" w:eastAsia="ko-KR"/>
              </w:rPr>
            </w:pPr>
            <w:r>
              <w:rPr>
                <w:b/>
                <w:sz w:val="18"/>
                <w:szCs w:val="18"/>
                <w:lang w:val="en-GB" w:eastAsia="ko-KR"/>
              </w:rPr>
              <w:t>Number of measured values per revolution</w:t>
            </w:r>
          </w:p>
        </w:tc>
        <w:tc>
          <w:tcPr>
            <w:tcW w:w="2208" w:type="dxa"/>
            <w:tcBorders>
              <w:top w:val="single" w:sz="4" w:space="0" w:color="auto"/>
              <w:left w:val="single" w:sz="4" w:space="0" w:color="auto"/>
              <w:bottom w:val="single" w:sz="4" w:space="0" w:color="auto"/>
              <w:right w:val="single" w:sz="4" w:space="0" w:color="auto"/>
            </w:tcBorders>
          </w:tcPr>
          <w:p w14:paraId="721E81F7" w14:textId="77777777" w:rsidR="00D126B0" w:rsidRPr="00190198" w:rsidRDefault="00D126B0" w:rsidP="00E47032">
            <w:pPr>
              <w:rPr>
                <w:b/>
                <w:sz w:val="18"/>
                <w:szCs w:val="18"/>
                <w:lang w:val="en-GB" w:eastAsia="ko-KR"/>
              </w:rPr>
            </w:pPr>
          </w:p>
        </w:tc>
      </w:tr>
      <w:tr w:rsidR="00D126B0" w:rsidRPr="00190198" w14:paraId="48D8061D" w14:textId="77777777" w:rsidTr="00D126B0">
        <w:trPr>
          <w:jc w:val="center"/>
        </w:trPr>
        <w:tc>
          <w:tcPr>
            <w:tcW w:w="4173" w:type="dxa"/>
            <w:tcBorders>
              <w:top w:val="single" w:sz="4" w:space="0" w:color="auto"/>
              <w:left w:val="single" w:sz="4" w:space="0" w:color="auto"/>
              <w:bottom w:val="single" w:sz="4" w:space="0" w:color="auto"/>
              <w:right w:val="single" w:sz="4" w:space="0" w:color="auto"/>
            </w:tcBorders>
          </w:tcPr>
          <w:p w14:paraId="39453910" w14:textId="55218A04" w:rsidR="00D126B0" w:rsidRDefault="00D126B0" w:rsidP="00E47032">
            <w:pPr>
              <w:jc w:val="center"/>
              <w:rPr>
                <w:b/>
                <w:sz w:val="18"/>
                <w:szCs w:val="18"/>
                <w:lang w:val="en-GB" w:eastAsia="ko-KR"/>
              </w:rPr>
            </w:pPr>
            <w:r>
              <w:rPr>
                <w:b/>
                <w:sz w:val="18"/>
                <w:szCs w:val="18"/>
                <w:lang w:val="en-GB" w:eastAsia="ko-KR"/>
              </w:rPr>
              <w:t>Stylus static force (mN)</w:t>
            </w:r>
          </w:p>
        </w:tc>
        <w:tc>
          <w:tcPr>
            <w:tcW w:w="2208" w:type="dxa"/>
            <w:tcBorders>
              <w:top w:val="single" w:sz="4" w:space="0" w:color="auto"/>
              <w:left w:val="single" w:sz="4" w:space="0" w:color="auto"/>
              <w:bottom w:val="single" w:sz="4" w:space="0" w:color="auto"/>
              <w:right w:val="single" w:sz="4" w:space="0" w:color="auto"/>
            </w:tcBorders>
          </w:tcPr>
          <w:p w14:paraId="2FAADC73" w14:textId="77777777" w:rsidR="00D126B0" w:rsidRPr="00190198" w:rsidRDefault="00D126B0" w:rsidP="00E47032">
            <w:pPr>
              <w:rPr>
                <w:b/>
                <w:sz w:val="18"/>
                <w:szCs w:val="18"/>
                <w:lang w:val="en-GB" w:eastAsia="ko-KR"/>
              </w:rPr>
            </w:pPr>
          </w:p>
        </w:tc>
      </w:tr>
      <w:tr w:rsidR="00D126B0" w:rsidRPr="00190198" w14:paraId="1DE12AAB" w14:textId="77777777" w:rsidTr="00D126B0">
        <w:trPr>
          <w:jc w:val="center"/>
        </w:trPr>
        <w:tc>
          <w:tcPr>
            <w:tcW w:w="4173" w:type="dxa"/>
            <w:tcBorders>
              <w:top w:val="single" w:sz="4" w:space="0" w:color="auto"/>
              <w:left w:val="single" w:sz="4" w:space="0" w:color="auto"/>
              <w:bottom w:val="single" w:sz="4" w:space="0" w:color="auto"/>
              <w:right w:val="single" w:sz="4" w:space="0" w:color="auto"/>
            </w:tcBorders>
          </w:tcPr>
          <w:p w14:paraId="06C57FDB" w14:textId="0D355099" w:rsidR="00D126B0" w:rsidRDefault="00D126B0" w:rsidP="00E47032">
            <w:pPr>
              <w:jc w:val="center"/>
              <w:rPr>
                <w:b/>
                <w:sz w:val="18"/>
                <w:szCs w:val="18"/>
                <w:lang w:val="en-GB" w:eastAsia="ko-KR"/>
              </w:rPr>
            </w:pPr>
            <w:r>
              <w:rPr>
                <w:b/>
                <w:sz w:val="18"/>
                <w:szCs w:val="18"/>
                <w:lang w:val="en-GB" w:eastAsia="ko-KR"/>
              </w:rPr>
              <w:t>Ball tip diameter (mm)</w:t>
            </w:r>
          </w:p>
        </w:tc>
        <w:tc>
          <w:tcPr>
            <w:tcW w:w="2208" w:type="dxa"/>
            <w:tcBorders>
              <w:top w:val="single" w:sz="4" w:space="0" w:color="auto"/>
              <w:left w:val="single" w:sz="4" w:space="0" w:color="auto"/>
              <w:bottom w:val="single" w:sz="4" w:space="0" w:color="auto"/>
              <w:right w:val="single" w:sz="4" w:space="0" w:color="auto"/>
            </w:tcBorders>
          </w:tcPr>
          <w:p w14:paraId="61C6ACD4" w14:textId="77777777" w:rsidR="00D126B0" w:rsidRPr="00190198" w:rsidRDefault="00D126B0" w:rsidP="00E47032">
            <w:pPr>
              <w:rPr>
                <w:b/>
                <w:sz w:val="18"/>
                <w:szCs w:val="18"/>
                <w:lang w:val="en-GB" w:eastAsia="ko-KR"/>
              </w:rPr>
            </w:pPr>
          </w:p>
        </w:tc>
      </w:tr>
    </w:tbl>
    <w:p w14:paraId="1F0BFE6A" w14:textId="694871CC" w:rsidR="00D126B0" w:rsidRDefault="00D126B0" w:rsidP="009B04BF">
      <w:pPr>
        <w:rPr>
          <w:rFonts w:ascii="Malgun Gothic" w:hAnsi="Malgun Gothic"/>
          <w:b/>
          <w:bCs/>
          <w:color w:val="000000"/>
          <w:sz w:val="26"/>
          <w:szCs w:val="26"/>
          <w:lang w:val="en-GB" w:eastAsia="ko-KR"/>
        </w:rPr>
      </w:pPr>
    </w:p>
    <w:tbl>
      <w:tblPr>
        <w:tblStyle w:val="Tabela-Siatka"/>
        <w:tblW w:w="0" w:type="auto"/>
        <w:jc w:val="center"/>
        <w:tblLook w:val="04A0" w:firstRow="1" w:lastRow="0" w:firstColumn="1" w:lastColumn="0" w:noHBand="0" w:noVBand="1"/>
      </w:tblPr>
      <w:tblGrid>
        <w:gridCol w:w="4173"/>
        <w:gridCol w:w="2208"/>
      </w:tblGrid>
      <w:tr w:rsidR="00DF24D1" w:rsidRPr="00190198" w14:paraId="13E80C8E" w14:textId="77777777" w:rsidTr="007613B0">
        <w:trPr>
          <w:trHeight w:val="591"/>
          <w:jc w:val="center"/>
        </w:trPr>
        <w:tc>
          <w:tcPr>
            <w:tcW w:w="6381" w:type="dxa"/>
            <w:gridSpan w:val="2"/>
            <w:tcBorders>
              <w:top w:val="single" w:sz="4" w:space="0" w:color="auto"/>
              <w:left w:val="single" w:sz="4" w:space="0" w:color="auto"/>
              <w:bottom w:val="single" w:sz="4" w:space="0" w:color="auto"/>
              <w:right w:val="single" w:sz="4" w:space="0" w:color="auto"/>
            </w:tcBorders>
          </w:tcPr>
          <w:p w14:paraId="445BE189" w14:textId="3F9CA5FF" w:rsidR="00DF24D1" w:rsidRDefault="00DF24D1" w:rsidP="007613B0">
            <w:pPr>
              <w:jc w:val="center"/>
              <w:rPr>
                <w:sz w:val="26"/>
                <w:szCs w:val="26"/>
                <w:lang w:val="en-GB" w:eastAsia="ko-KR"/>
              </w:rPr>
            </w:pPr>
            <w:r>
              <w:rPr>
                <w:sz w:val="26"/>
                <w:szCs w:val="26"/>
                <w:lang w:val="en-GB" w:eastAsia="ko-KR"/>
              </w:rPr>
              <w:t>Ring – inner diameter</w:t>
            </w:r>
          </w:p>
        </w:tc>
      </w:tr>
      <w:tr w:rsidR="00DF24D1" w:rsidRPr="00190198" w14:paraId="015C33C9" w14:textId="77777777" w:rsidTr="007613B0">
        <w:trPr>
          <w:trHeight w:val="591"/>
          <w:jc w:val="center"/>
        </w:trPr>
        <w:tc>
          <w:tcPr>
            <w:tcW w:w="4173" w:type="dxa"/>
            <w:tcBorders>
              <w:top w:val="single" w:sz="4" w:space="0" w:color="auto"/>
              <w:left w:val="single" w:sz="4" w:space="0" w:color="auto"/>
              <w:bottom w:val="single" w:sz="4" w:space="0" w:color="auto"/>
              <w:right w:val="single" w:sz="4" w:space="0" w:color="auto"/>
            </w:tcBorders>
            <w:hideMark/>
          </w:tcPr>
          <w:p w14:paraId="48365783" w14:textId="77777777" w:rsidR="00DF24D1" w:rsidRPr="00190198" w:rsidRDefault="00DF24D1" w:rsidP="007613B0">
            <w:pPr>
              <w:jc w:val="center"/>
              <w:rPr>
                <w:sz w:val="26"/>
                <w:szCs w:val="26"/>
                <w:lang w:val="en-GB" w:eastAsia="ko-KR"/>
              </w:rPr>
            </w:pPr>
            <w:r>
              <w:rPr>
                <w:sz w:val="26"/>
                <w:szCs w:val="26"/>
                <w:lang w:val="en-GB" w:eastAsia="ko-KR"/>
              </w:rPr>
              <w:t>Set-up</w:t>
            </w:r>
          </w:p>
        </w:tc>
        <w:tc>
          <w:tcPr>
            <w:tcW w:w="2208" w:type="dxa"/>
            <w:tcBorders>
              <w:top w:val="single" w:sz="4" w:space="0" w:color="auto"/>
              <w:left w:val="single" w:sz="4" w:space="0" w:color="auto"/>
              <w:bottom w:val="single" w:sz="4" w:space="0" w:color="auto"/>
              <w:right w:val="single" w:sz="4" w:space="0" w:color="auto"/>
            </w:tcBorders>
            <w:hideMark/>
          </w:tcPr>
          <w:p w14:paraId="67C811B5" w14:textId="77777777" w:rsidR="00DF24D1" w:rsidRPr="00D126B0" w:rsidRDefault="00DF24D1" w:rsidP="007613B0">
            <w:pPr>
              <w:jc w:val="center"/>
              <w:rPr>
                <w:sz w:val="26"/>
                <w:szCs w:val="26"/>
                <w:lang w:val="en-GB" w:eastAsia="ko-KR"/>
              </w:rPr>
            </w:pPr>
            <w:r>
              <w:rPr>
                <w:sz w:val="26"/>
                <w:szCs w:val="26"/>
                <w:lang w:val="en-GB" w:eastAsia="ko-KR"/>
              </w:rPr>
              <w:t>Detail</w:t>
            </w:r>
          </w:p>
        </w:tc>
      </w:tr>
      <w:tr w:rsidR="00DF24D1" w:rsidRPr="00190198" w14:paraId="0EDFEBB9" w14:textId="77777777" w:rsidTr="007613B0">
        <w:trPr>
          <w:jc w:val="center"/>
        </w:trPr>
        <w:tc>
          <w:tcPr>
            <w:tcW w:w="4173" w:type="dxa"/>
            <w:tcBorders>
              <w:top w:val="single" w:sz="4" w:space="0" w:color="auto"/>
              <w:left w:val="single" w:sz="4" w:space="0" w:color="auto"/>
              <w:bottom w:val="single" w:sz="4" w:space="0" w:color="auto"/>
              <w:right w:val="single" w:sz="4" w:space="0" w:color="auto"/>
            </w:tcBorders>
            <w:hideMark/>
          </w:tcPr>
          <w:p w14:paraId="493B5021" w14:textId="77777777" w:rsidR="00DF24D1" w:rsidRPr="00190198" w:rsidRDefault="00DF24D1" w:rsidP="007613B0">
            <w:pPr>
              <w:jc w:val="center"/>
              <w:rPr>
                <w:b/>
                <w:sz w:val="18"/>
                <w:szCs w:val="18"/>
                <w:lang w:val="en-GB" w:eastAsia="ko-KR"/>
              </w:rPr>
            </w:pPr>
            <w:r>
              <w:rPr>
                <w:b/>
                <w:sz w:val="18"/>
                <w:szCs w:val="18"/>
                <w:lang w:val="en-GB" w:eastAsia="ko-KR"/>
              </w:rPr>
              <w:t>Rotating workpiece or probe (CW or CCW)</w:t>
            </w:r>
          </w:p>
        </w:tc>
        <w:tc>
          <w:tcPr>
            <w:tcW w:w="2208" w:type="dxa"/>
            <w:tcBorders>
              <w:top w:val="single" w:sz="4" w:space="0" w:color="auto"/>
              <w:left w:val="single" w:sz="4" w:space="0" w:color="auto"/>
              <w:bottom w:val="single" w:sz="4" w:space="0" w:color="auto"/>
              <w:right w:val="single" w:sz="4" w:space="0" w:color="auto"/>
            </w:tcBorders>
          </w:tcPr>
          <w:p w14:paraId="037DDEFB" w14:textId="77777777" w:rsidR="00DF24D1" w:rsidRPr="00190198" w:rsidRDefault="00DF24D1" w:rsidP="007613B0">
            <w:pPr>
              <w:rPr>
                <w:b/>
                <w:sz w:val="18"/>
                <w:szCs w:val="18"/>
                <w:lang w:val="en-GB" w:eastAsia="ko-KR"/>
              </w:rPr>
            </w:pPr>
          </w:p>
        </w:tc>
      </w:tr>
      <w:tr w:rsidR="00DF24D1" w:rsidRPr="00190198" w14:paraId="7106574B" w14:textId="77777777" w:rsidTr="007613B0">
        <w:trPr>
          <w:jc w:val="center"/>
        </w:trPr>
        <w:tc>
          <w:tcPr>
            <w:tcW w:w="4173" w:type="dxa"/>
            <w:tcBorders>
              <w:top w:val="single" w:sz="4" w:space="0" w:color="auto"/>
              <w:left w:val="single" w:sz="4" w:space="0" w:color="auto"/>
              <w:bottom w:val="single" w:sz="4" w:space="0" w:color="auto"/>
              <w:right w:val="single" w:sz="4" w:space="0" w:color="auto"/>
            </w:tcBorders>
            <w:hideMark/>
          </w:tcPr>
          <w:p w14:paraId="3F62D5F3" w14:textId="77777777" w:rsidR="00DF24D1" w:rsidRPr="00190198" w:rsidRDefault="00DF24D1" w:rsidP="007613B0">
            <w:pPr>
              <w:jc w:val="center"/>
              <w:rPr>
                <w:b/>
                <w:sz w:val="18"/>
                <w:szCs w:val="18"/>
                <w:lang w:val="en-GB" w:eastAsia="ko-KR"/>
              </w:rPr>
            </w:pPr>
            <w:r>
              <w:rPr>
                <w:b/>
                <w:sz w:val="18"/>
                <w:szCs w:val="18"/>
                <w:lang w:val="en-GB" w:eastAsia="ko-KR"/>
              </w:rPr>
              <w:t>Rotation speed (rev/min)</w:t>
            </w:r>
          </w:p>
        </w:tc>
        <w:tc>
          <w:tcPr>
            <w:tcW w:w="2208" w:type="dxa"/>
            <w:tcBorders>
              <w:top w:val="single" w:sz="4" w:space="0" w:color="auto"/>
              <w:left w:val="single" w:sz="4" w:space="0" w:color="auto"/>
              <w:bottom w:val="single" w:sz="4" w:space="0" w:color="auto"/>
              <w:right w:val="single" w:sz="4" w:space="0" w:color="auto"/>
            </w:tcBorders>
          </w:tcPr>
          <w:p w14:paraId="4DB69887" w14:textId="77777777" w:rsidR="00DF24D1" w:rsidRPr="00190198" w:rsidRDefault="00DF24D1" w:rsidP="007613B0">
            <w:pPr>
              <w:rPr>
                <w:b/>
                <w:sz w:val="18"/>
                <w:szCs w:val="18"/>
                <w:lang w:val="en-GB" w:eastAsia="ko-KR"/>
              </w:rPr>
            </w:pPr>
          </w:p>
        </w:tc>
      </w:tr>
      <w:tr w:rsidR="00DF24D1" w:rsidRPr="00190198" w14:paraId="3815B812" w14:textId="77777777" w:rsidTr="007613B0">
        <w:trPr>
          <w:jc w:val="center"/>
        </w:trPr>
        <w:tc>
          <w:tcPr>
            <w:tcW w:w="4173" w:type="dxa"/>
            <w:tcBorders>
              <w:top w:val="single" w:sz="4" w:space="0" w:color="auto"/>
              <w:left w:val="single" w:sz="4" w:space="0" w:color="auto"/>
              <w:bottom w:val="single" w:sz="4" w:space="0" w:color="auto"/>
              <w:right w:val="single" w:sz="4" w:space="0" w:color="auto"/>
            </w:tcBorders>
            <w:hideMark/>
          </w:tcPr>
          <w:p w14:paraId="1B4FD9CD" w14:textId="77777777" w:rsidR="00DF24D1" w:rsidRPr="00190198" w:rsidRDefault="00DF24D1" w:rsidP="007613B0">
            <w:pPr>
              <w:jc w:val="center"/>
              <w:rPr>
                <w:b/>
                <w:sz w:val="18"/>
                <w:szCs w:val="18"/>
                <w:lang w:val="en-GB" w:eastAsia="ko-KR"/>
              </w:rPr>
            </w:pPr>
            <w:r>
              <w:rPr>
                <w:b/>
                <w:sz w:val="18"/>
                <w:szCs w:val="18"/>
                <w:lang w:val="en-GB" w:eastAsia="ko-KR"/>
              </w:rPr>
              <w:t>Number of measured values per revolution</w:t>
            </w:r>
          </w:p>
        </w:tc>
        <w:tc>
          <w:tcPr>
            <w:tcW w:w="2208" w:type="dxa"/>
            <w:tcBorders>
              <w:top w:val="single" w:sz="4" w:space="0" w:color="auto"/>
              <w:left w:val="single" w:sz="4" w:space="0" w:color="auto"/>
              <w:bottom w:val="single" w:sz="4" w:space="0" w:color="auto"/>
              <w:right w:val="single" w:sz="4" w:space="0" w:color="auto"/>
            </w:tcBorders>
          </w:tcPr>
          <w:p w14:paraId="61634332" w14:textId="77777777" w:rsidR="00DF24D1" w:rsidRPr="00190198" w:rsidRDefault="00DF24D1" w:rsidP="007613B0">
            <w:pPr>
              <w:rPr>
                <w:b/>
                <w:sz w:val="18"/>
                <w:szCs w:val="18"/>
                <w:lang w:val="en-GB" w:eastAsia="ko-KR"/>
              </w:rPr>
            </w:pPr>
          </w:p>
        </w:tc>
      </w:tr>
      <w:tr w:rsidR="00DF24D1" w:rsidRPr="00190198" w14:paraId="2875C209" w14:textId="77777777" w:rsidTr="007613B0">
        <w:trPr>
          <w:jc w:val="center"/>
        </w:trPr>
        <w:tc>
          <w:tcPr>
            <w:tcW w:w="4173" w:type="dxa"/>
            <w:tcBorders>
              <w:top w:val="single" w:sz="4" w:space="0" w:color="auto"/>
              <w:left w:val="single" w:sz="4" w:space="0" w:color="auto"/>
              <w:bottom w:val="single" w:sz="4" w:space="0" w:color="auto"/>
              <w:right w:val="single" w:sz="4" w:space="0" w:color="auto"/>
            </w:tcBorders>
          </w:tcPr>
          <w:p w14:paraId="3E17612A" w14:textId="77777777" w:rsidR="00DF24D1" w:rsidRDefault="00DF24D1" w:rsidP="007613B0">
            <w:pPr>
              <w:jc w:val="center"/>
              <w:rPr>
                <w:b/>
                <w:sz w:val="18"/>
                <w:szCs w:val="18"/>
                <w:lang w:val="en-GB" w:eastAsia="ko-KR"/>
              </w:rPr>
            </w:pPr>
            <w:r>
              <w:rPr>
                <w:b/>
                <w:sz w:val="18"/>
                <w:szCs w:val="18"/>
                <w:lang w:val="en-GB" w:eastAsia="ko-KR"/>
              </w:rPr>
              <w:t>Stylus static force (mN)</w:t>
            </w:r>
          </w:p>
        </w:tc>
        <w:tc>
          <w:tcPr>
            <w:tcW w:w="2208" w:type="dxa"/>
            <w:tcBorders>
              <w:top w:val="single" w:sz="4" w:space="0" w:color="auto"/>
              <w:left w:val="single" w:sz="4" w:space="0" w:color="auto"/>
              <w:bottom w:val="single" w:sz="4" w:space="0" w:color="auto"/>
              <w:right w:val="single" w:sz="4" w:space="0" w:color="auto"/>
            </w:tcBorders>
          </w:tcPr>
          <w:p w14:paraId="21F7549D" w14:textId="77777777" w:rsidR="00DF24D1" w:rsidRPr="00190198" w:rsidRDefault="00DF24D1" w:rsidP="007613B0">
            <w:pPr>
              <w:rPr>
                <w:b/>
                <w:sz w:val="18"/>
                <w:szCs w:val="18"/>
                <w:lang w:val="en-GB" w:eastAsia="ko-KR"/>
              </w:rPr>
            </w:pPr>
          </w:p>
        </w:tc>
      </w:tr>
      <w:tr w:rsidR="00DF24D1" w:rsidRPr="00190198" w14:paraId="624C05B0" w14:textId="77777777" w:rsidTr="007613B0">
        <w:trPr>
          <w:jc w:val="center"/>
        </w:trPr>
        <w:tc>
          <w:tcPr>
            <w:tcW w:w="4173" w:type="dxa"/>
            <w:tcBorders>
              <w:top w:val="single" w:sz="4" w:space="0" w:color="auto"/>
              <w:left w:val="single" w:sz="4" w:space="0" w:color="auto"/>
              <w:bottom w:val="single" w:sz="4" w:space="0" w:color="auto"/>
              <w:right w:val="single" w:sz="4" w:space="0" w:color="auto"/>
            </w:tcBorders>
          </w:tcPr>
          <w:p w14:paraId="48A1932F" w14:textId="77777777" w:rsidR="00DF24D1" w:rsidRDefault="00DF24D1" w:rsidP="007613B0">
            <w:pPr>
              <w:jc w:val="center"/>
              <w:rPr>
                <w:b/>
                <w:sz w:val="18"/>
                <w:szCs w:val="18"/>
                <w:lang w:val="en-GB" w:eastAsia="ko-KR"/>
              </w:rPr>
            </w:pPr>
            <w:r>
              <w:rPr>
                <w:b/>
                <w:sz w:val="18"/>
                <w:szCs w:val="18"/>
                <w:lang w:val="en-GB" w:eastAsia="ko-KR"/>
              </w:rPr>
              <w:t>Ball tip diameter (mm)</w:t>
            </w:r>
          </w:p>
        </w:tc>
        <w:tc>
          <w:tcPr>
            <w:tcW w:w="2208" w:type="dxa"/>
            <w:tcBorders>
              <w:top w:val="single" w:sz="4" w:space="0" w:color="auto"/>
              <w:left w:val="single" w:sz="4" w:space="0" w:color="auto"/>
              <w:bottom w:val="single" w:sz="4" w:space="0" w:color="auto"/>
              <w:right w:val="single" w:sz="4" w:space="0" w:color="auto"/>
            </w:tcBorders>
          </w:tcPr>
          <w:p w14:paraId="79984996" w14:textId="77777777" w:rsidR="00DF24D1" w:rsidRPr="00190198" w:rsidRDefault="00DF24D1" w:rsidP="007613B0">
            <w:pPr>
              <w:rPr>
                <w:b/>
                <w:sz w:val="18"/>
                <w:szCs w:val="18"/>
                <w:lang w:val="en-GB" w:eastAsia="ko-KR"/>
              </w:rPr>
            </w:pPr>
          </w:p>
        </w:tc>
      </w:tr>
    </w:tbl>
    <w:p w14:paraId="1A18CC22" w14:textId="77777777" w:rsidR="00DF24D1" w:rsidRDefault="00DF24D1" w:rsidP="009B04BF">
      <w:pPr>
        <w:rPr>
          <w:rFonts w:ascii="Malgun Gothic" w:hAnsi="Malgun Gothic"/>
          <w:b/>
          <w:bCs/>
          <w:color w:val="000000"/>
          <w:sz w:val="26"/>
          <w:szCs w:val="26"/>
          <w:lang w:val="en-GB" w:eastAsia="ko-KR"/>
        </w:rPr>
      </w:pPr>
    </w:p>
    <w:p w14:paraId="1B428E28" w14:textId="77777777" w:rsidR="00D126B0" w:rsidRDefault="00D126B0">
      <w:pPr>
        <w:spacing w:after="160" w:line="259" w:lineRule="auto"/>
        <w:jc w:val="left"/>
        <w:rPr>
          <w:rFonts w:ascii="Malgun Gothic" w:hAnsi="Malgun Gothic"/>
          <w:b/>
          <w:bCs/>
          <w:color w:val="000000"/>
          <w:sz w:val="26"/>
          <w:szCs w:val="26"/>
          <w:lang w:val="en-GB" w:eastAsia="ko-KR"/>
        </w:rPr>
      </w:pPr>
      <w:r>
        <w:rPr>
          <w:rFonts w:ascii="Malgun Gothic" w:hAnsi="Malgun Gothic"/>
          <w:b/>
          <w:bCs/>
          <w:color w:val="000000"/>
          <w:sz w:val="26"/>
          <w:szCs w:val="26"/>
          <w:lang w:val="en-GB" w:eastAsia="ko-KR"/>
        </w:rPr>
        <w:br w:type="page"/>
      </w:r>
    </w:p>
    <w:p w14:paraId="26C4DC69" w14:textId="77777777" w:rsidR="00D126B0" w:rsidRPr="00190198" w:rsidRDefault="00D126B0" w:rsidP="009B04BF">
      <w:pPr>
        <w:rPr>
          <w:rFonts w:ascii="Malgun Gothic" w:hAnsi="Malgun Gothic"/>
          <w:b/>
          <w:bCs/>
          <w:color w:val="000000"/>
          <w:sz w:val="26"/>
          <w:szCs w:val="26"/>
          <w:lang w:val="en-GB" w:eastAsia="ko-KR"/>
        </w:rPr>
      </w:pPr>
    </w:p>
    <w:p w14:paraId="18E8A357" w14:textId="6186C1ED" w:rsidR="009B04BF" w:rsidRPr="00190198" w:rsidRDefault="00D4024D" w:rsidP="00D4024D">
      <w:pPr>
        <w:pStyle w:val="Akapitzlist"/>
        <w:numPr>
          <w:ilvl w:val="3"/>
          <w:numId w:val="4"/>
        </w:numPr>
        <w:ind w:left="357" w:hanging="357"/>
        <w:rPr>
          <w:b/>
          <w:szCs w:val="22"/>
          <w:lang w:val="en-GB" w:eastAsia="ko-KR"/>
        </w:rPr>
      </w:pPr>
      <w:r w:rsidRPr="00190198">
        <w:rPr>
          <w:b/>
          <w:szCs w:val="22"/>
          <w:lang w:val="en-GB"/>
        </w:rPr>
        <w:t>U</w:t>
      </w:r>
      <w:r w:rsidR="009B04BF" w:rsidRPr="00190198">
        <w:rPr>
          <w:b/>
          <w:szCs w:val="22"/>
          <w:lang w:val="en-GB"/>
        </w:rPr>
        <w:t>ncertainty</w:t>
      </w:r>
      <w:r w:rsidRPr="00190198">
        <w:rPr>
          <w:b/>
          <w:szCs w:val="22"/>
          <w:lang w:val="en-GB"/>
        </w:rPr>
        <w:t xml:space="preserve"> of measurement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992"/>
        <w:gridCol w:w="1276"/>
        <w:gridCol w:w="708"/>
        <w:gridCol w:w="1771"/>
        <w:gridCol w:w="1489"/>
      </w:tblGrid>
      <w:tr w:rsidR="006A7B88" w:rsidRPr="00190198" w14:paraId="32C43B6B" w14:textId="77777777" w:rsidTr="00C70723">
        <w:tc>
          <w:tcPr>
            <w:tcW w:w="9283" w:type="dxa"/>
            <w:gridSpan w:val="6"/>
            <w:tcBorders>
              <w:top w:val="single" w:sz="12" w:space="0" w:color="auto"/>
              <w:left w:val="single" w:sz="12" w:space="0" w:color="auto"/>
              <w:bottom w:val="single" w:sz="12" w:space="0" w:color="auto"/>
              <w:right w:val="single" w:sz="12" w:space="0" w:color="auto"/>
            </w:tcBorders>
          </w:tcPr>
          <w:p w14:paraId="3E328279" w14:textId="4DCF6DF7" w:rsidR="006A7B88" w:rsidRPr="006A7B88" w:rsidRDefault="006A7B88">
            <w:pPr>
              <w:tabs>
                <w:tab w:val="right" w:pos="9072"/>
              </w:tabs>
              <w:jc w:val="center"/>
              <w:rPr>
                <w:b/>
                <w:bCs/>
                <w:iCs/>
                <w:lang w:val="en-GB"/>
              </w:rPr>
            </w:pPr>
            <w:r w:rsidRPr="006A7B88">
              <w:rPr>
                <w:b/>
                <w:bCs/>
                <w:iCs/>
                <w:lang w:val="en-GB"/>
              </w:rPr>
              <w:t>Sphere – outer diameter</w:t>
            </w:r>
          </w:p>
        </w:tc>
      </w:tr>
      <w:tr w:rsidR="009B04BF" w:rsidRPr="00190198" w14:paraId="64E19540" w14:textId="77777777" w:rsidTr="009B04BF">
        <w:tc>
          <w:tcPr>
            <w:tcW w:w="3047" w:type="dxa"/>
            <w:tcBorders>
              <w:top w:val="single" w:sz="12" w:space="0" w:color="auto"/>
              <w:left w:val="single" w:sz="12" w:space="0" w:color="auto"/>
              <w:bottom w:val="single" w:sz="12" w:space="0" w:color="auto"/>
              <w:right w:val="single" w:sz="6" w:space="0" w:color="auto"/>
            </w:tcBorders>
            <w:hideMark/>
          </w:tcPr>
          <w:p w14:paraId="3062A7B8" w14:textId="77777777" w:rsidR="009B04BF" w:rsidRPr="00190198" w:rsidRDefault="009B04BF">
            <w:pPr>
              <w:tabs>
                <w:tab w:val="right" w:pos="9072"/>
              </w:tabs>
              <w:jc w:val="left"/>
              <w:rPr>
                <w:lang w:val="en-GB"/>
              </w:rPr>
            </w:pPr>
            <w:r w:rsidRPr="00190198">
              <w:rPr>
                <w:lang w:val="en-GB"/>
              </w:rPr>
              <w:t>Name and symbol</w:t>
            </w:r>
            <w:r w:rsidRPr="00190198">
              <w:rPr>
                <w:i/>
                <w:lang w:val="en-GB"/>
              </w:rPr>
              <w:t xml:space="preserve"> x</w:t>
            </w:r>
            <w:r w:rsidRPr="00190198">
              <w:rPr>
                <w:i/>
                <w:vertAlign w:val="subscript"/>
                <w:lang w:val="en-GB"/>
              </w:rPr>
              <w:t xml:space="preserve">i </w:t>
            </w:r>
          </w:p>
        </w:tc>
        <w:tc>
          <w:tcPr>
            <w:tcW w:w="992" w:type="dxa"/>
            <w:tcBorders>
              <w:top w:val="single" w:sz="12" w:space="0" w:color="auto"/>
              <w:left w:val="single" w:sz="6" w:space="0" w:color="auto"/>
              <w:bottom w:val="single" w:sz="12" w:space="0" w:color="auto"/>
              <w:right w:val="single" w:sz="6" w:space="0" w:color="auto"/>
            </w:tcBorders>
            <w:hideMark/>
          </w:tcPr>
          <w:p w14:paraId="53C8FCDC" w14:textId="77777777" w:rsidR="009B04BF" w:rsidRPr="00190198" w:rsidRDefault="009B04BF">
            <w:pPr>
              <w:tabs>
                <w:tab w:val="right" w:pos="9072"/>
              </w:tabs>
              <w:jc w:val="center"/>
              <w:rPr>
                <w:lang w:val="en-GB"/>
              </w:rPr>
            </w:pPr>
            <w:r w:rsidRPr="00190198">
              <w:rPr>
                <w:lang w:val="en-GB"/>
              </w:rPr>
              <w:t>distrib.</w:t>
            </w:r>
          </w:p>
        </w:tc>
        <w:tc>
          <w:tcPr>
            <w:tcW w:w="1276" w:type="dxa"/>
            <w:tcBorders>
              <w:top w:val="single" w:sz="12" w:space="0" w:color="auto"/>
              <w:left w:val="single" w:sz="6" w:space="0" w:color="auto"/>
              <w:bottom w:val="single" w:sz="12" w:space="0" w:color="auto"/>
              <w:right w:val="single" w:sz="6" w:space="0" w:color="auto"/>
            </w:tcBorders>
            <w:hideMark/>
          </w:tcPr>
          <w:p w14:paraId="6099548B" w14:textId="77777777" w:rsidR="009B04BF" w:rsidRPr="00190198" w:rsidRDefault="009B04BF">
            <w:pPr>
              <w:tabs>
                <w:tab w:val="right" w:pos="9072"/>
              </w:tabs>
              <w:jc w:val="center"/>
              <w:rPr>
                <w:lang w:val="en-GB"/>
              </w:rPr>
            </w:pPr>
            <w:r w:rsidRPr="00190198">
              <w:rPr>
                <w:i/>
                <w:lang w:val="en-GB"/>
              </w:rPr>
              <w:t>u(x</w:t>
            </w:r>
            <w:r w:rsidRPr="00190198">
              <w:rPr>
                <w:i/>
                <w:vertAlign w:val="subscript"/>
                <w:lang w:val="en-GB"/>
              </w:rPr>
              <w:t>i</w:t>
            </w:r>
            <w:r w:rsidRPr="00190198">
              <w:rPr>
                <w:i/>
                <w:lang w:val="en-GB"/>
              </w:rPr>
              <w:t>)</w:t>
            </w:r>
            <w:r w:rsidRPr="00190198">
              <w:rPr>
                <w:lang w:val="en-GB"/>
              </w:rPr>
              <w:t xml:space="preserve"> unit</w:t>
            </w:r>
          </w:p>
        </w:tc>
        <w:tc>
          <w:tcPr>
            <w:tcW w:w="708" w:type="dxa"/>
            <w:tcBorders>
              <w:top w:val="single" w:sz="12" w:space="0" w:color="auto"/>
              <w:left w:val="single" w:sz="6" w:space="0" w:color="auto"/>
              <w:bottom w:val="single" w:sz="12" w:space="0" w:color="auto"/>
              <w:right w:val="single" w:sz="6" w:space="0" w:color="auto"/>
            </w:tcBorders>
            <w:hideMark/>
          </w:tcPr>
          <w:p w14:paraId="754D436A" w14:textId="77777777" w:rsidR="009B04BF" w:rsidRPr="00190198" w:rsidRDefault="009B04BF">
            <w:pPr>
              <w:tabs>
                <w:tab w:val="right" w:pos="9072"/>
              </w:tabs>
              <w:jc w:val="center"/>
              <w:rPr>
                <w:lang w:val="en-GB"/>
              </w:rPr>
            </w:pPr>
            <w:r w:rsidRPr="00190198">
              <w:rPr>
                <w:rFonts w:ascii="Symbol" w:hAnsi="Symbol" w:hint="eastAsia"/>
                <w:i/>
                <w:lang w:val="en-GB"/>
              </w:rPr>
              <w:t>n</w:t>
            </w:r>
            <w:r w:rsidRPr="00190198">
              <w:rPr>
                <w:i/>
                <w:vertAlign w:val="subscript"/>
                <w:lang w:val="en-GB"/>
              </w:rPr>
              <w:t>i</w:t>
            </w:r>
          </w:p>
        </w:tc>
        <w:tc>
          <w:tcPr>
            <w:tcW w:w="1771" w:type="dxa"/>
            <w:tcBorders>
              <w:top w:val="single" w:sz="12" w:space="0" w:color="auto"/>
              <w:left w:val="single" w:sz="6" w:space="0" w:color="auto"/>
              <w:bottom w:val="single" w:sz="12" w:space="0" w:color="auto"/>
              <w:right w:val="single" w:sz="6" w:space="0" w:color="auto"/>
            </w:tcBorders>
            <w:hideMark/>
          </w:tcPr>
          <w:p w14:paraId="3020416E" w14:textId="77777777" w:rsidR="009B04BF" w:rsidRPr="00190198" w:rsidRDefault="009B04BF">
            <w:pPr>
              <w:tabs>
                <w:tab w:val="right" w:pos="9072"/>
              </w:tabs>
              <w:jc w:val="center"/>
              <w:rPr>
                <w:lang w:val="en-GB"/>
              </w:rPr>
            </w:pPr>
            <w:r w:rsidRPr="00190198">
              <w:rPr>
                <w:i/>
                <w:lang w:val="en-GB"/>
              </w:rPr>
              <w:t>c</w:t>
            </w:r>
            <w:r w:rsidRPr="00190198">
              <w:rPr>
                <w:i/>
                <w:vertAlign w:val="subscript"/>
                <w:lang w:val="en-GB"/>
              </w:rPr>
              <w:t>i</w:t>
            </w:r>
            <w:r w:rsidRPr="00190198">
              <w:rPr>
                <w:vertAlign w:val="subscript"/>
                <w:lang w:val="en-GB"/>
              </w:rPr>
              <w:t xml:space="preserve"> </w:t>
            </w:r>
            <w:r w:rsidRPr="00190198">
              <w:rPr>
                <w:lang w:val="en-GB"/>
              </w:rPr>
              <w:t xml:space="preserve">= </w:t>
            </w:r>
            <w:r w:rsidRPr="00190198">
              <w:rPr>
                <w:lang w:val="en-GB"/>
              </w:rPr>
              <w:sym w:font="Symbol" w:char="F0B6"/>
            </w:r>
            <w:r w:rsidRPr="00190198">
              <w:rPr>
                <w:lang w:val="en-GB"/>
              </w:rPr>
              <w:t>d</w:t>
            </w:r>
            <w:r w:rsidRPr="00190198">
              <w:rPr>
                <w:i/>
                <w:lang w:val="en-GB"/>
              </w:rPr>
              <w:t>l</w:t>
            </w:r>
            <w:r w:rsidRPr="00190198">
              <w:rPr>
                <w:lang w:val="en-GB"/>
              </w:rPr>
              <w:t>/</w:t>
            </w:r>
            <w:r w:rsidRPr="00190198">
              <w:rPr>
                <w:lang w:val="en-GB"/>
              </w:rPr>
              <w:sym w:font="Symbol" w:char="F0B6"/>
            </w:r>
            <w:r w:rsidRPr="00190198">
              <w:rPr>
                <w:i/>
                <w:lang w:val="en-GB"/>
              </w:rPr>
              <w:t>x</w:t>
            </w:r>
            <w:r w:rsidRPr="00190198">
              <w:rPr>
                <w:i/>
                <w:vertAlign w:val="subscript"/>
                <w:lang w:val="en-GB"/>
              </w:rPr>
              <w:t>i</w:t>
            </w:r>
          </w:p>
        </w:tc>
        <w:tc>
          <w:tcPr>
            <w:tcW w:w="1489" w:type="dxa"/>
            <w:tcBorders>
              <w:top w:val="single" w:sz="12" w:space="0" w:color="auto"/>
              <w:left w:val="single" w:sz="6" w:space="0" w:color="auto"/>
              <w:bottom w:val="single" w:sz="12" w:space="0" w:color="auto"/>
              <w:right w:val="single" w:sz="12" w:space="0" w:color="auto"/>
            </w:tcBorders>
            <w:hideMark/>
          </w:tcPr>
          <w:p w14:paraId="607ADF9E" w14:textId="77777777" w:rsidR="009B04BF" w:rsidRPr="00190198" w:rsidRDefault="009B04BF">
            <w:pPr>
              <w:tabs>
                <w:tab w:val="right" w:pos="9072"/>
              </w:tabs>
              <w:jc w:val="center"/>
              <w:rPr>
                <w:lang w:val="en-GB"/>
              </w:rPr>
            </w:pPr>
            <w:r w:rsidRPr="00190198">
              <w:rPr>
                <w:i/>
                <w:lang w:val="en-GB"/>
              </w:rPr>
              <w:t>u</w:t>
            </w:r>
            <w:r w:rsidRPr="00190198">
              <w:rPr>
                <w:i/>
                <w:vertAlign w:val="subscript"/>
                <w:lang w:val="en-GB"/>
              </w:rPr>
              <w:t>i</w:t>
            </w:r>
            <w:r w:rsidRPr="00190198">
              <w:rPr>
                <w:i/>
                <w:lang w:val="en-GB"/>
              </w:rPr>
              <w:t>(dl</w:t>
            </w:r>
            <w:r w:rsidRPr="00190198">
              <w:rPr>
                <w:lang w:val="en-GB"/>
              </w:rPr>
              <w:t>) /µm</w:t>
            </w:r>
          </w:p>
        </w:tc>
      </w:tr>
      <w:tr w:rsidR="009B04BF" w:rsidRPr="00190198" w14:paraId="3799A31B" w14:textId="77777777" w:rsidTr="009B04BF">
        <w:trPr>
          <w:trHeight w:val="600"/>
        </w:trPr>
        <w:tc>
          <w:tcPr>
            <w:tcW w:w="3047" w:type="dxa"/>
            <w:tcBorders>
              <w:top w:val="nil"/>
              <w:left w:val="single" w:sz="12" w:space="0" w:color="auto"/>
              <w:bottom w:val="single" w:sz="6" w:space="0" w:color="auto"/>
              <w:right w:val="single" w:sz="6" w:space="0" w:color="auto"/>
            </w:tcBorders>
          </w:tcPr>
          <w:p w14:paraId="3D27A4D2" w14:textId="77777777" w:rsidR="009B04BF" w:rsidRPr="00190198" w:rsidRDefault="009B04BF">
            <w:pPr>
              <w:tabs>
                <w:tab w:val="right" w:pos="9072"/>
              </w:tabs>
              <w:jc w:val="left"/>
              <w:rPr>
                <w:lang w:val="en-GB"/>
              </w:rPr>
            </w:pPr>
          </w:p>
        </w:tc>
        <w:tc>
          <w:tcPr>
            <w:tcW w:w="992" w:type="dxa"/>
            <w:tcBorders>
              <w:top w:val="nil"/>
              <w:left w:val="single" w:sz="6" w:space="0" w:color="auto"/>
              <w:bottom w:val="single" w:sz="6" w:space="0" w:color="auto"/>
              <w:right w:val="single" w:sz="6" w:space="0" w:color="auto"/>
            </w:tcBorders>
          </w:tcPr>
          <w:p w14:paraId="34EAEDB2" w14:textId="77777777" w:rsidR="009B04BF" w:rsidRPr="00190198" w:rsidRDefault="009B04BF">
            <w:pPr>
              <w:tabs>
                <w:tab w:val="right" w:pos="9072"/>
              </w:tabs>
              <w:jc w:val="center"/>
              <w:rPr>
                <w:lang w:val="en-GB"/>
              </w:rPr>
            </w:pPr>
          </w:p>
        </w:tc>
        <w:tc>
          <w:tcPr>
            <w:tcW w:w="1276" w:type="dxa"/>
            <w:tcBorders>
              <w:top w:val="nil"/>
              <w:left w:val="single" w:sz="6" w:space="0" w:color="auto"/>
              <w:bottom w:val="single" w:sz="6" w:space="0" w:color="auto"/>
              <w:right w:val="single" w:sz="6" w:space="0" w:color="auto"/>
            </w:tcBorders>
          </w:tcPr>
          <w:p w14:paraId="33ADA499" w14:textId="77777777" w:rsidR="009B04BF" w:rsidRPr="00190198" w:rsidRDefault="009B04BF">
            <w:pPr>
              <w:tabs>
                <w:tab w:val="right" w:pos="9072"/>
              </w:tabs>
              <w:jc w:val="center"/>
              <w:rPr>
                <w:lang w:val="en-GB"/>
              </w:rPr>
            </w:pPr>
          </w:p>
        </w:tc>
        <w:tc>
          <w:tcPr>
            <w:tcW w:w="708" w:type="dxa"/>
            <w:tcBorders>
              <w:top w:val="nil"/>
              <w:left w:val="single" w:sz="6" w:space="0" w:color="auto"/>
              <w:bottom w:val="single" w:sz="6" w:space="0" w:color="auto"/>
              <w:right w:val="single" w:sz="6" w:space="0" w:color="auto"/>
            </w:tcBorders>
          </w:tcPr>
          <w:p w14:paraId="279060BE" w14:textId="77777777" w:rsidR="009B04BF" w:rsidRPr="00190198" w:rsidRDefault="009B04BF">
            <w:pPr>
              <w:tabs>
                <w:tab w:val="right" w:pos="9072"/>
              </w:tabs>
              <w:jc w:val="center"/>
              <w:rPr>
                <w:lang w:val="en-GB"/>
              </w:rPr>
            </w:pPr>
          </w:p>
        </w:tc>
        <w:tc>
          <w:tcPr>
            <w:tcW w:w="1771" w:type="dxa"/>
            <w:tcBorders>
              <w:top w:val="nil"/>
              <w:left w:val="single" w:sz="6" w:space="0" w:color="auto"/>
              <w:bottom w:val="single" w:sz="6" w:space="0" w:color="auto"/>
              <w:right w:val="single" w:sz="6" w:space="0" w:color="auto"/>
            </w:tcBorders>
          </w:tcPr>
          <w:p w14:paraId="68DC26B9" w14:textId="77777777" w:rsidR="009B04BF" w:rsidRPr="00190198" w:rsidRDefault="009B04BF">
            <w:pPr>
              <w:tabs>
                <w:tab w:val="right" w:pos="9072"/>
              </w:tabs>
              <w:jc w:val="center"/>
              <w:rPr>
                <w:lang w:val="en-GB"/>
              </w:rPr>
            </w:pPr>
          </w:p>
        </w:tc>
        <w:tc>
          <w:tcPr>
            <w:tcW w:w="1489" w:type="dxa"/>
            <w:tcBorders>
              <w:top w:val="nil"/>
              <w:left w:val="single" w:sz="6" w:space="0" w:color="auto"/>
              <w:bottom w:val="single" w:sz="6" w:space="0" w:color="auto"/>
              <w:right w:val="single" w:sz="12" w:space="0" w:color="auto"/>
            </w:tcBorders>
          </w:tcPr>
          <w:p w14:paraId="60C66EE8" w14:textId="77777777" w:rsidR="009B04BF" w:rsidRPr="00190198" w:rsidRDefault="009B04BF">
            <w:pPr>
              <w:tabs>
                <w:tab w:val="right" w:pos="9072"/>
              </w:tabs>
              <w:jc w:val="center"/>
              <w:rPr>
                <w:lang w:val="en-GB"/>
              </w:rPr>
            </w:pPr>
          </w:p>
        </w:tc>
      </w:tr>
      <w:tr w:rsidR="009B04BF" w:rsidRPr="00190198" w14:paraId="7903BD4F"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1C132112"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24E87659"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051100C3"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7856F6CD"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3B471EFE"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327CCE51" w14:textId="77777777" w:rsidR="009B04BF" w:rsidRPr="00190198" w:rsidRDefault="009B04BF">
            <w:pPr>
              <w:tabs>
                <w:tab w:val="right" w:pos="9072"/>
              </w:tabs>
              <w:jc w:val="center"/>
              <w:rPr>
                <w:lang w:val="en-GB"/>
              </w:rPr>
            </w:pPr>
          </w:p>
        </w:tc>
      </w:tr>
      <w:tr w:rsidR="009B04BF" w:rsidRPr="00190198" w14:paraId="5AE7D66B"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1F826F45"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69F36F5F"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3B049064"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39240FFD"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37863793"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330ED400" w14:textId="77777777" w:rsidR="009B04BF" w:rsidRPr="00190198" w:rsidRDefault="009B04BF">
            <w:pPr>
              <w:tabs>
                <w:tab w:val="right" w:pos="9072"/>
              </w:tabs>
              <w:jc w:val="center"/>
              <w:rPr>
                <w:lang w:val="en-GB"/>
              </w:rPr>
            </w:pPr>
          </w:p>
        </w:tc>
      </w:tr>
      <w:tr w:rsidR="009B04BF" w:rsidRPr="00190198" w14:paraId="332729DC"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0B19BF96"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75D78281"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67B684B9"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600EA2C5"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2C87392F"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5AA97CD7" w14:textId="77777777" w:rsidR="009B04BF" w:rsidRPr="00190198" w:rsidRDefault="009B04BF">
            <w:pPr>
              <w:tabs>
                <w:tab w:val="right" w:pos="9072"/>
              </w:tabs>
              <w:jc w:val="center"/>
              <w:rPr>
                <w:lang w:val="en-GB"/>
              </w:rPr>
            </w:pPr>
          </w:p>
        </w:tc>
      </w:tr>
      <w:tr w:rsidR="009B04BF" w:rsidRPr="00190198" w14:paraId="659AB059"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007DAA07"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6FF07E7F"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7831B191"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2575EE8E"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384D8033"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103BEA5D" w14:textId="77777777" w:rsidR="009B04BF" w:rsidRPr="00190198" w:rsidRDefault="009B04BF">
            <w:pPr>
              <w:tabs>
                <w:tab w:val="right" w:pos="9072"/>
              </w:tabs>
              <w:jc w:val="center"/>
              <w:rPr>
                <w:lang w:val="en-GB"/>
              </w:rPr>
            </w:pPr>
          </w:p>
        </w:tc>
      </w:tr>
      <w:tr w:rsidR="009B04BF" w:rsidRPr="00190198" w14:paraId="30D038E4"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7A6C39DE"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24F4FD4D"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65A62BFE"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32F291E1"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1ED34014"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294E02DA" w14:textId="77777777" w:rsidR="009B04BF" w:rsidRPr="00190198" w:rsidRDefault="009B04BF">
            <w:pPr>
              <w:tabs>
                <w:tab w:val="right" w:pos="9072"/>
              </w:tabs>
              <w:jc w:val="center"/>
              <w:rPr>
                <w:lang w:val="en-GB"/>
              </w:rPr>
            </w:pPr>
          </w:p>
        </w:tc>
      </w:tr>
      <w:tr w:rsidR="009B04BF" w:rsidRPr="00190198" w14:paraId="08F3BC87"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3F23588C"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4A08C4E8"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4D76CE26"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61CF67C9"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6CCD7E02"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2267F376" w14:textId="77777777" w:rsidR="009B04BF" w:rsidRPr="00190198" w:rsidRDefault="009B04BF">
            <w:pPr>
              <w:tabs>
                <w:tab w:val="right" w:pos="9072"/>
              </w:tabs>
              <w:jc w:val="center"/>
              <w:rPr>
                <w:lang w:val="en-GB"/>
              </w:rPr>
            </w:pPr>
          </w:p>
        </w:tc>
      </w:tr>
      <w:tr w:rsidR="009B04BF" w:rsidRPr="00190198" w14:paraId="1ADC2604"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09944589"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183C5EFB"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5F147E3A"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303B5601"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6F5F4385"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34AE3962" w14:textId="77777777" w:rsidR="009B04BF" w:rsidRPr="00190198" w:rsidRDefault="009B04BF">
            <w:pPr>
              <w:tabs>
                <w:tab w:val="right" w:pos="9072"/>
              </w:tabs>
              <w:jc w:val="center"/>
              <w:rPr>
                <w:lang w:val="en-GB"/>
              </w:rPr>
            </w:pPr>
          </w:p>
        </w:tc>
      </w:tr>
      <w:tr w:rsidR="009B04BF" w:rsidRPr="00190198" w14:paraId="2F1660A3"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0AAB30E3"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647F283D"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7D3799B4"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59107DA8"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68B18C31"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7E5C1ECB" w14:textId="77777777" w:rsidR="009B04BF" w:rsidRPr="00190198" w:rsidRDefault="009B04BF">
            <w:pPr>
              <w:tabs>
                <w:tab w:val="right" w:pos="9072"/>
              </w:tabs>
              <w:jc w:val="center"/>
              <w:rPr>
                <w:lang w:val="en-GB"/>
              </w:rPr>
            </w:pPr>
          </w:p>
        </w:tc>
      </w:tr>
      <w:tr w:rsidR="009B04BF" w:rsidRPr="00190198" w14:paraId="71A4086B"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08860FAE"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1A143E1C"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159F7EFB"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22D72F9D"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344A5800"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231EDA28" w14:textId="77777777" w:rsidR="009B04BF" w:rsidRPr="00190198" w:rsidRDefault="009B04BF">
            <w:pPr>
              <w:tabs>
                <w:tab w:val="right" w:pos="9072"/>
              </w:tabs>
              <w:jc w:val="center"/>
              <w:rPr>
                <w:lang w:val="en-GB"/>
              </w:rPr>
            </w:pPr>
          </w:p>
        </w:tc>
      </w:tr>
      <w:tr w:rsidR="009B04BF" w:rsidRPr="00190198" w14:paraId="1280C834"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3CE3F38C"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1003134F"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6108822F"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E771FAA"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5B068763"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2484B782" w14:textId="77777777" w:rsidR="009B04BF" w:rsidRPr="00190198" w:rsidRDefault="009B04BF">
            <w:pPr>
              <w:tabs>
                <w:tab w:val="right" w:pos="9072"/>
              </w:tabs>
              <w:jc w:val="center"/>
              <w:rPr>
                <w:lang w:val="en-GB"/>
              </w:rPr>
            </w:pPr>
          </w:p>
        </w:tc>
      </w:tr>
      <w:tr w:rsidR="009B04BF" w:rsidRPr="00190198" w14:paraId="16CB70BF" w14:textId="77777777" w:rsidTr="009B04BF">
        <w:trPr>
          <w:trHeight w:val="600"/>
        </w:trPr>
        <w:tc>
          <w:tcPr>
            <w:tcW w:w="3047" w:type="dxa"/>
            <w:tcBorders>
              <w:top w:val="single" w:sz="6" w:space="0" w:color="auto"/>
              <w:left w:val="single" w:sz="12" w:space="0" w:color="auto"/>
              <w:bottom w:val="single" w:sz="6" w:space="0" w:color="auto"/>
              <w:right w:val="single" w:sz="6" w:space="0" w:color="auto"/>
            </w:tcBorders>
          </w:tcPr>
          <w:p w14:paraId="718D1B6D"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4D6208B4"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44F4AEA4"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79DCADD4"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22059F92"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4CC759C3" w14:textId="77777777" w:rsidR="009B04BF" w:rsidRPr="00190198" w:rsidRDefault="009B04BF">
            <w:pPr>
              <w:tabs>
                <w:tab w:val="right" w:pos="9072"/>
              </w:tabs>
              <w:jc w:val="center"/>
              <w:rPr>
                <w:lang w:val="en-GB"/>
              </w:rPr>
            </w:pPr>
          </w:p>
        </w:tc>
      </w:tr>
      <w:tr w:rsidR="009B04BF" w:rsidRPr="00190198" w14:paraId="2D071C60" w14:textId="77777777" w:rsidTr="009B04BF">
        <w:trPr>
          <w:trHeight w:val="600"/>
        </w:trPr>
        <w:tc>
          <w:tcPr>
            <w:tcW w:w="3047" w:type="dxa"/>
            <w:tcBorders>
              <w:top w:val="single" w:sz="6" w:space="0" w:color="auto"/>
              <w:left w:val="single" w:sz="12" w:space="0" w:color="auto"/>
              <w:bottom w:val="single" w:sz="12" w:space="0" w:color="auto"/>
              <w:right w:val="single" w:sz="6" w:space="0" w:color="auto"/>
            </w:tcBorders>
          </w:tcPr>
          <w:p w14:paraId="15B1203D" w14:textId="77777777" w:rsidR="009B04BF" w:rsidRPr="00190198" w:rsidRDefault="009B04BF">
            <w:pPr>
              <w:tabs>
                <w:tab w:val="right" w:pos="9072"/>
              </w:tabs>
              <w:jc w:val="left"/>
              <w:rPr>
                <w:lang w:val="en-GB"/>
              </w:rPr>
            </w:pPr>
          </w:p>
        </w:tc>
        <w:tc>
          <w:tcPr>
            <w:tcW w:w="992" w:type="dxa"/>
            <w:tcBorders>
              <w:top w:val="single" w:sz="6" w:space="0" w:color="auto"/>
              <w:left w:val="single" w:sz="6" w:space="0" w:color="auto"/>
              <w:bottom w:val="single" w:sz="12" w:space="0" w:color="auto"/>
              <w:right w:val="single" w:sz="6" w:space="0" w:color="auto"/>
            </w:tcBorders>
          </w:tcPr>
          <w:p w14:paraId="472E7743" w14:textId="77777777" w:rsidR="009B04BF" w:rsidRPr="00190198" w:rsidRDefault="009B04BF">
            <w:pPr>
              <w:tabs>
                <w:tab w:val="right" w:pos="9072"/>
              </w:tabs>
              <w:jc w:val="center"/>
              <w:rPr>
                <w:lang w:val="en-GB"/>
              </w:rPr>
            </w:pPr>
          </w:p>
        </w:tc>
        <w:tc>
          <w:tcPr>
            <w:tcW w:w="1276" w:type="dxa"/>
            <w:tcBorders>
              <w:top w:val="single" w:sz="6" w:space="0" w:color="auto"/>
              <w:left w:val="single" w:sz="6" w:space="0" w:color="auto"/>
              <w:bottom w:val="single" w:sz="12" w:space="0" w:color="auto"/>
              <w:right w:val="single" w:sz="6" w:space="0" w:color="auto"/>
            </w:tcBorders>
          </w:tcPr>
          <w:p w14:paraId="5CA21A88" w14:textId="77777777" w:rsidR="009B04BF" w:rsidRPr="00190198" w:rsidRDefault="009B04BF">
            <w:pPr>
              <w:tabs>
                <w:tab w:val="right" w:pos="9072"/>
              </w:tabs>
              <w:jc w:val="center"/>
              <w:rPr>
                <w:lang w:val="en-GB"/>
              </w:rPr>
            </w:pPr>
          </w:p>
        </w:tc>
        <w:tc>
          <w:tcPr>
            <w:tcW w:w="708" w:type="dxa"/>
            <w:tcBorders>
              <w:top w:val="single" w:sz="6" w:space="0" w:color="auto"/>
              <w:left w:val="single" w:sz="6" w:space="0" w:color="auto"/>
              <w:bottom w:val="single" w:sz="12" w:space="0" w:color="auto"/>
              <w:right w:val="single" w:sz="6" w:space="0" w:color="auto"/>
            </w:tcBorders>
          </w:tcPr>
          <w:p w14:paraId="51E0C166" w14:textId="77777777" w:rsidR="009B04BF" w:rsidRPr="00190198" w:rsidRDefault="009B04BF">
            <w:pPr>
              <w:tabs>
                <w:tab w:val="right" w:pos="9072"/>
              </w:tabs>
              <w:jc w:val="center"/>
              <w:rPr>
                <w:lang w:val="en-GB"/>
              </w:rPr>
            </w:pPr>
          </w:p>
        </w:tc>
        <w:tc>
          <w:tcPr>
            <w:tcW w:w="1771" w:type="dxa"/>
            <w:tcBorders>
              <w:top w:val="single" w:sz="6" w:space="0" w:color="auto"/>
              <w:left w:val="single" w:sz="6" w:space="0" w:color="auto"/>
              <w:bottom w:val="single" w:sz="12" w:space="0" w:color="auto"/>
              <w:right w:val="single" w:sz="6" w:space="0" w:color="auto"/>
            </w:tcBorders>
          </w:tcPr>
          <w:p w14:paraId="366858C5" w14:textId="77777777" w:rsidR="009B04BF" w:rsidRPr="00190198" w:rsidRDefault="009B04BF">
            <w:pPr>
              <w:tabs>
                <w:tab w:val="right" w:pos="9072"/>
              </w:tabs>
              <w:jc w:val="center"/>
              <w:rPr>
                <w:lang w:val="en-GB"/>
              </w:rPr>
            </w:pPr>
          </w:p>
        </w:tc>
        <w:tc>
          <w:tcPr>
            <w:tcW w:w="1489" w:type="dxa"/>
            <w:tcBorders>
              <w:top w:val="single" w:sz="6" w:space="0" w:color="auto"/>
              <w:left w:val="single" w:sz="6" w:space="0" w:color="auto"/>
              <w:bottom w:val="single" w:sz="12" w:space="0" w:color="auto"/>
              <w:right w:val="single" w:sz="12" w:space="0" w:color="auto"/>
            </w:tcBorders>
          </w:tcPr>
          <w:p w14:paraId="5C225AED" w14:textId="77777777" w:rsidR="009B04BF" w:rsidRPr="00190198" w:rsidRDefault="009B04BF">
            <w:pPr>
              <w:tabs>
                <w:tab w:val="right" w:pos="9072"/>
              </w:tabs>
              <w:jc w:val="center"/>
              <w:rPr>
                <w:lang w:val="en-GB"/>
              </w:rPr>
            </w:pPr>
          </w:p>
        </w:tc>
      </w:tr>
    </w:tbl>
    <w:p w14:paraId="232DCF58" w14:textId="38310832" w:rsidR="00580552" w:rsidRDefault="00580552" w:rsidP="009B04BF">
      <w:pPr>
        <w:tabs>
          <w:tab w:val="left" w:pos="3969"/>
          <w:tab w:val="left" w:pos="4395"/>
          <w:tab w:val="left" w:pos="4820"/>
          <w:tab w:val="left" w:pos="7938"/>
          <w:tab w:val="right" w:pos="9072"/>
        </w:tabs>
        <w:spacing w:before="120" w:after="60"/>
        <w:rPr>
          <w:lang w:val="en-GB"/>
        </w:rPr>
      </w:pPr>
    </w:p>
    <w:p w14:paraId="4C144120" w14:textId="77777777" w:rsidR="00096975" w:rsidRPr="00190198" w:rsidRDefault="00096975" w:rsidP="009B04BF">
      <w:pPr>
        <w:tabs>
          <w:tab w:val="left" w:pos="3969"/>
          <w:tab w:val="left" w:pos="4395"/>
          <w:tab w:val="left" w:pos="4820"/>
          <w:tab w:val="left" w:pos="7938"/>
          <w:tab w:val="right" w:pos="9072"/>
        </w:tabs>
        <w:spacing w:before="120" w:after="60"/>
        <w:rPr>
          <w:lang w:val="en-GB"/>
        </w:rPr>
      </w:pPr>
    </w:p>
    <w:p w14:paraId="7CDCEA28" w14:textId="015A8FE9" w:rsidR="009B04BF" w:rsidRPr="00190198" w:rsidRDefault="009B04BF" w:rsidP="009B04BF">
      <w:pPr>
        <w:tabs>
          <w:tab w:val="left" w:pos="3969"/>
          <w:tab w:val="left" w:pos="4395"/>
          <w:tab w:val="left" w:pos="4820"/>
          <w:tab w:val="left" w:pos="7938"/>
          <w:tab w:val="right" w:pos="9072"/>
        </w:tabs>
        <w:spacing w:after="240"/>
        <w:rPr>
          <w:lang w:val="en-GB"/>
        </w:rPr>
      </w:pPr>
      <w:r w:rsidRPr="00190198">
        <w:rPr>
          <w:lang w:val="en-GB"/>
        </w:rPr>
        <w:tab/>
      </w:r>
    </w:p>
    <w:p w14:paraId="11DC9CD7" w14:textId="4A2CC08B" w:rsidR="00452F72" w:rsidRPr="006F404A" w:rsidRDefault="00452F72" w:rsidP="00452F72">
      <w:pPr>
        <w:rPr>
          <w:rFonts w:ascii="Times New Roman" w:hAnsi="Times New Roman" w:cs="Times New Roman"/>
          <w:i/>
          <w:szCs w:val="22"/>
          <w:lang w:val="en-GB"/>
        </w:rPr>
      </w:pPr>
      <w:r w:rsidRPr="006F404A">
        <w:rPr>
          <w:lang w:val="en-GB"/>
        </w:rPr>
        <w:t xml:space="preserve">Combined standard uncertainty: </w:t>
      </w:r>
      <w:r w:rsidRPr="006F404A">
        <w:rPr>
          <w:rFonts w:ascii="Times New Roman" w:hAnsi="Times New Roman" w:cs="Times New Roman"/>
          <w:i/>
          <w:szCs w:val="22"/>
          <w:lang w:val="en-GB"/>
        </w:rPr>
        <w:t>u</w:t>
      </w:r>
      <w:r w:rsidRPr="006F404A">
        <w:rPr>
          <w:rFonts w:ascii="Times New Roman" w:hAnsi="Times New Roman" w:cs="Times New Roman"/>
          <w:i/>
          <w:szCs w:val="22"/>
          <w:vertAlign w:val="subscript"/>
          <w:lang w:val="en-GB"/>
        </w:rPr>
        <w:t>c</w:t>
      </w:r>
      <w:r w:rsidRPr="006F404A">
        <w:rPr>
          <w:rFonts w:ascii="Times New Roman" w:hAnsi="Times New Roman" w:cs="Times New Roman"/>
          <w:i/>
          <w:szCs w:val="22"/>
          <w:lang w:val="en-GB"/>
        </w:rPr>
        <w:t>(</w:t>
      </w:r>
      <w:r>
        <w:rPr>
          <w:rFonts w:ascii="Times New Roman" w:hAnsi="Times New Roman" w:cs="Times New Roman"/>
          <w:i/>
          <w:szCs w:val="22"/>
          <w:lang w:val="en-GB"/>
        </w:rPr>
        <w:t>L</w:t>
      </w:r>
      <w:r w:rsidRPr="006F404A">
        <w:rPr>
          <w:rFonts w:ascii="Times New Roman" w:hAnsi="Times New Roman" w:cs="Times New Roman"/>
          <w:i/>
          <w:szCs w:val="22"/>
          <w:lang w:val="en-GB"/>
        </w:rPr>
        <w:t>)</w:t>
      </w:r>
      <w:r w:rsidRPr="006F404A">
        <w:rPr>
          <w:lang w:val="en-GB"/>
        </w:rPr>
        <w:t>=</w:t>
      </w:r>
    </w:p>
    <w:p w14:paraId="21CF66A9" w14:textId="77777777" w:rsidR="00D126B0" w:rsidRDefault="00452F72" w:rsidP="00452F72">
      <w:pPr>
        <w:rPr>
          <w:lang w:val="en-GB"/>
        </w:rPr>
      </w:pPr>
      <w:r w:rsidRPr="006F404A">
        <w:rPr>
          <w:lang w:val="en-GB"/>
        </w:rPr>
        <w:t xml:space="preserve">Expanded uncertainty: </w:t>
      </w:r>
      <w:r w:rsidRPr="006F404A">
        <w:rPr>
          <w:rFonts w:ascii="Times New Roman" w:hAnsi="Times New Roman" w:cs="Times New Roman"/>
          <w:i/>
          <w:szCs w:val="22"/>
          <w:lang w:val="en-GB"/>
        </w:rPr>
        <w:t>U(</w:t>
      </w:r>
      <w:r>
        <w:rPr>
          <w:rFonts w:ascii="Times New Roman" w:hAnsi="Times New Roman" w:cs="Times New Roman"/>
          <w:i/>
          <w:szCs w:val="22"/>
          <w:lang w:val="en-GB"/>
        </w:rPr>
        <w:t>L</w:t>
      </w:r>
      <w:r w:rsidRPr="006F404A">
        <w:rPr>
          <w:rFonts w:ascii="Times New Roman" w:hAnsi="Times New Roman" w:cs="Times New Roman"/>
          <w:i/>
          <w:szCs w:val="22"/>
          <w:lang w:val="en-GB"/>
        </w:rPr>
        <w:t xml:space="preserve">) </w:t>
      </w:r>
      <w:r w:rsidRPr="006F404A">
        <w:rPr>
          <w:rFonts w:ascii="Times New Roman" w:hAnsi="Times New Roman" w:cs="Times New Roman"/>
          <w:szCs w:val="22"/>
          <w:lang w:val="en-GB"/>
        </w:rPr>
        <w:t>(</w:t>
      </w:r>
      <w:r w:rsidRPr="006F404A">
        <w:rPr>
          <w:rFonts w:ascii="Times New Roman" w:hAnsi="Times New Roman" w:cs="Times New Roman"/>
          <w:i/>
          <w:szCs w:val="22"/>
          <w:lang w:val="en-GB"/>
        </w:rPr>
        <w:t>k</w:t>
      </w:r>
      <w:r w:rsidRPr="006F404A">
        <w:rPr>
          <w:rFonts w:ascii="Times New Roman" w:hAnsi="Times New Roman" w:cs="Times New Roman"/>
          <w:szCs w:val="22"/>
          <w:lang w:val="en-GB"/>
        </w:rPr>
        <w:t xml:space="preserve"> =</w:t>
      </w:r>
      <w:r>
        <w:rPr>
          <w:rFonts w:ascii="Times New Roman" w:hAnsi="Times New Roman" w:cs="Times New Roman"/>
          <w:szCs w:val="22"/>
          <w:lang w:val="en-GB"/>
        </w:rPr>
        <w:t xml:space="preserve">  </w:t>
      </w:r>
      <w:r w:rsidRPr="006F404A">
        <w:rPr>
          <w:rFonts w:ascii="Times New Roman" w:hAnsi="Times New Roman" w:cs="Times New Roman"/>
          <w:szCs w:val="22"/>
          <w:lang w:val="en-GB"/>
        </w:rPr>
        <w:t xml:space="preserve">) </w:t>
      </w:r>
      <w:r w:rsidRPr="006F404A">
        <w:rPr>
          <w:lang w:val="en-GB"/>
        </w:rPr>
        <w:t>=</w:t>
      </w:r>
      <w:r>
        <w:rPr>
          <w:lang w:val="en-GB"/>
        </w:rPr>
        <w:t xml:space="preserve"> </w:t>
      </w:r>
    </w:p>
    <w:p w14:paraId="70AA4A6D" w14:textId="64D64454" w:rsidR="00452F72" w:rsidRPr="006F404A" w:rsidRDefault="00452F72" w:rsidP="00452F72">
      <w:pPr>
        <w:rPr>
          <w:lang w:val="en-GB"/>
        </w:rPr>
      </w:pPr>
      <m:oMath>
        <m:r>
          <w:rPr>
            <w:rFonts w:ascii="Cambria Math"/>
            <w:lang w:val="en-GB"/>
          </w:rPr>
          <m:t>U</m:t>
        </m:r>
        <m:d>
          <m:dPr>
            <m:ctrlPr>
              <w:rPr>
                <w:rFonts w:ascii="Cambria Math" w:hAnsi="Cambria Math"/>
                <w:i/>
                <w:lang w:val="en-GB"/>
              </w:rPr>
            </m:ctrlPr>
          </m:dPr>
          <m:e>
            <m:r>
              <w:rPr>
                <w:rFonts w:ascii="Cambria Math"/>
                <w:lang w:val="en-GB"/>
              </w:rPr>
              <m:t>L</m:t>
            </m:r>
          </m:e>
        </m:d>
        <m:r>
          <w:rPr>
            <w:rFonts w:ascii="Cambria Math"/>
            <w:lang w:val="en-GB"/>
          </w:rPr>
          <m:t>=Q</m:t>
        </m:r>
        <m:d>
          <m:dPr>
            <m:begChr m:val="["/>
            <m:endChr m:val="]"/>
            <m:ctrlPr>
              <w:rPr>
                <w:rFonts w:ascii="Cambria Math" w:hAnsi="Cambria Math"/>
                <w:i/>
                <w:lang w:val="en-GB"/>
              </w:rPr>
            </m:ctrlPr>
          </m:dPr>
          <m:e>
            <m:r>
              <w:rPr>
                <w:rFonts w:ascii="Cambria Math"/>
                <w:lang w:val="en-GB"/>
              </w:rPr>
              <m:t>A,BL</m:t>
            </m:r>
          </m:e>
        </m:d>
        <m:r>
          <w:rPr>
            <w:rFonts w:ascii="Cambria Math" w:hAnsi="Cambria Math"/>
            <w:lang w:val="en-GB"/>
          </w:rPr>
          <m:t>=</m:t>
        </m:r>
        <m:rad>
          <m:radPr>
            <m:degHide m:val="1"/>
            <m:ctrlPr>
              <w:rPr>
                <w:rFonts w:ascii="Cambria Math" w:hAnsi="Cambria Math"/>
                <w:i/>
                <w:lang w:val="en-GB"/>
              </w:rPr>
            </m:ctrlPr>
          </m:radPr>
          <m:deg/>
          <m:e>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(BL)</m:t>
                </m:r>
              </m:e>
              <m:sup>
                <m:r>
                  <w:rPr>
                    <w:rFonts w:ascii="Cambria Math" w:hAnsi="Cambria Math"/>
                    <w:lang w:val="en-GB"/>
                  </w:rPr>
                  <m:t>2</m:t>
                </m:r>
              </m:sup>
            </m:sSup>
          </m:e>
        </m:rad>
        <m:r>
          <w:rPr>
            <w:rFonts w:ascii="Cambria Math" w:hAnsi="Cambria Math"/>
            <w:lang w:val="en-GB"/>
          </w:rPr>
          <m:t xml:space="preserve">= </m:t>
        </m:r>
      </m:oMath>
      <w:r w:rsidR="00D126B0">
        <w:rPr>
          <w:lang w:val="en-GB"/>
        </w:rPr>
        <w:t xml:space="preserve"> </w:t>
      </w:r>
    </w:p>
    <w:p w14:paraId="42C05C25" w14:textId="689BD0FB" w:rsidR="00452F72" w:rsidRDefault="0051407B" w:rsidP="0051407B">
      <w:pPr>
        <w:spacing w:after="160" w:line="259" w:lineRule="auto"/>
        <w:jc w:val="left"/>
        <w:rPr>
          <w:lang w:val="en-GB"/>
        </w:rPr>
      </w:pPr>
      <w:r>
        <w:rPr>
          <w:lang w:val="en-GB"/>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992"/>
        <w:gridCol w:w="1276"/>
        <w:gridCol w:w="708"/>
        <w:gridCol w:w="1771"/>
        <w:gridCol w:w="1489"/>
      </w:tblGrid>
      <w:tr w:rsidR="006A7B88" w:rsidRPr="00190198" w14:paraId="26A6404F" w14:textId="77777777" w:rsidTr="007613B0">
        <w:tc>
          <w:tcPr>
            <w:tcW w:w="9283" w:type="dxa"/>
            <w:gridSpan w:val="6"/>
            <w:tcBorders>
              <w:top w:val="single" w:sz="12" w:space="0" w:color="auto"/>
              <w:left w:val="single" w:sz="12" w:space="0" w:color="auto"/>
              <w:bottom w:val="single" w:sz="12" w:space="0" w:color="auto"/>
              <w:right w:val="single" w:sz="12" w:space="0" w:color="auto"/>
            </w:tcBorders>
          </w:tcPr>
          <w:p w14:paraId="6897E7D8" w14:textId="0AC9342A" w:rsidR="006A7B88" w:rsidRPr="006A7B88" w:rsidRDefault="006A7B88" w:rsidP="007613B0">
            <w:pPr>
              <w:tabs>
                <w:tab w:val="right" w:pos="9072"/>
              </w:tabs>
              <w:jc w:val="center"/>
              <w:rPr>
                <w:b/>
                <w:bCs/>
                <w:iCs/>
                <w:lang w:val="en-GB"/>
              </w:rPr>
            </w:pPr>
            <w:r>
              <w:rPr>
                <w:b/>
                <w:bCs/>
                <w:iCs/>
                <w:lang w:val="en-GB"/>
              </w:rPr>
              <w:lastRenderedPageBreak/>
              <w:t xml:space="preserve">Ring </w:t>
            </w:r>
            <w:r w:rsidRPr="006A7B88">
              <w:rPr>
                <w:b/>
                <w:bCs/>
                <w:iCs/>
                <w:lang w:val="en-GB"/>
              </w:rPr>
              <w:t xml:space="preserve"> – </w:t>
            </w:r>
            <w:r>
              <w:rPr>
                <w:b/>
                <w:bCs/>
                <w:iCs/>
                <w:lang w:val="en-GB"/>
              </w:rPr>
              <w:t xml:space="preserve">inner </w:t>
            </w:r>
            <w:r w:rsidRPr="006A7B88">
              <w:rPr>
                <w:b/>
                <w:bCs/>
                <w:iCs/>
                <w:lang w:val="en-GB"/>
              </w:rPr>
              <w:t>diameter</w:t>
            </w:r>
          </w:p>
        </w:tc>
      </w:tr>
      <w:tr w:rsidR="006A7B88" w:rsidRPr="00190198" w14:paraId="14F52D55" w14:textId="77777777" w:rsidTr="007613B0">
        <w:tc>
          <w:tcPr>
            <w:tcW w:w="3047" w:type="dxa"/>
            <w:tcBorders>
              <w:top w:val="single" w:sz="12" w:space="0" w:color="auto"/>
              <w:left w:val="single" w:sz="12" w:space="0" w:color="auto"/>
              <w:bottom w:val="single" w:sz="12" w:space="0" w:color="auto"/>
              <w:right w:val="single" w:sz="6" w:space="0" w:color="auto"/>
            </w:tcBorders>
            <w:hideMark/>
          </w:tcPr>
          <w:p w14:paraId="52FDCD52" w14:textId="77777777" w:rsidR="006A7B88" w:rsidRPr="00190198" w:rsidRDefault="006A7B88" w:rsidP="007613B0">
            <w:pPr>
              <w:tabs>
                <w:tab w:val="right" w:pos="9072"/>
              </w:tabs>
              <w:jc w:val="left"/>
              <w:rPr>
                <w:lang w:val="en-GB"/>
              </w:rPr>
            </w:pPr>
            <w:r w:rsidRPr="00190198">
              <w:rPr>
                <w:lang w:val="en-GB"/>
              </w:rPr>
              <w:t>Name and symbol</w:t>
            </w:r>
            <w:r w:rsidRPr="00190198">
              <w:rPr>
                <w:i/>
                <w:lang w:val="en-GB"/>
              </w:rPr>
              <w:t xml:space="preserve"> x</w:t>
            </w:r>
            <w:r w:rsidRPr="00190198">
              <w:rPr>
                <w:i/>
                <w:vertAlign w:val="subscript"/>
                <w:lang w:val="en-GB"/>
              </w:rPr>
              <w:t xml:space="preserve">i </w:t>
            </w:r>
          </w:p>
        </w:tc>
        <w:tc>
          <w:tcPr>
            <w:tcW w:w="992" w:type="dxa"/>
            <w:tcBorders>
              <w:top w:val="single" w:sz="12" w:space="0" w:color="auto"/>
              <w:left w:val="single" w:sz="6" w:space="0" w:color="auto"/>
              <w:bottom w:val="single" w:sz="12" w:space="0" w:color="auto"/>
              <w:right w:val="single" w:sz="6" w:space="0" w:color="auto"/>
            </w:tcBorders>
            <w:hideMark/>
          </w:tcPr>
          <w:p w14:paraId="6DBAAC96" w14:textId="77777777" w:rsidR="006A7B88" w:rsidRPr="00190198" w:rsidRDefault="006A7B88" w:rsidP="007613B0">
            <w:pPr>
              <w:tabs>
                <w:tab w:val="right" w:pos="9072"/>
              </w:tabs>
              <w:jc w:val="center"/>
              <w:rPr>
                <w:lang w:val="en-GB"/>
              </w:rPr>
            </w:pPr>
            <w:r w:rsidRPr="00190198">
              <w:rPr>
                <w:lang w:val="en-GB"/>
              </w:rPr>
              <w:t>distrib.</w:t>
            </w:r>
          </w:p>
        </w:tc>
        <w:tc>
          <w:tcPr>
            <w:tcW w:w="1276" w:type="dxa"/>
            <w:tcBorders>
              <w:top w:val="single" w:sz="12" w:space="0" w:color="auto"/>
              <w:left w:val="single" w:sz="6" w:space="0" w:color="auto"/>
              <w:bottom w:val="single" w:sz="12" w:space="0" w:color="auto"/>
              <w:right w:val="single" w:sz="6" w:space="0" w:color="auto"/>
            </w:tcBorders>
            <w:hideMark/>
          </w:tcPr>
          <w:p w14:paraId="2D7BE29D" w14:textId="77777777" w:rsidR="006A7B88" w:rsidRPr="00190198" w:rsidRDefault="006A7B88" w:rsidP="007613B0">
            <w:pPr>
              <w:tabs>
                <w:tab w:val="right" w:pos="9072"/>
              </w:tabs>
              <w:jc w:val="center"/>
              <w:rPr>
                <w:lang w:val="en-GB"/>
              </w:rPr>
            </w:pPr>
            <w:r w:rsidRPr="00190198">
              <w:rPr>
                <w:i/>
                <w:lang w:val="en-GB"/>
              </w:rPr>
              <w:t>u(x</w:t>
            </w:r>
            <w:r w:rsidRPr="00190198">
              <w:rPr>
                <w:i/>
                <w:vertAlign w:val="subscript"/>
                <w:lang w:val="en-GB"/>
              </w:rPr>
              <w:t>i</w:t>
            </w:r>
            <w:r w:rsidRPr="00190198">
              <w:rPr>
                <w:i/>
                <w:lang w:val="en-GB"/>
              </w:rPr>
              <w:t>)</w:t>
            </w:r>
            <w:r w:rsidRPr="00190198">
              <w:rPr>
                <w:lang w:val="en-GB"/>
              </w:rPr>
              <w:t xml:space="preserve"> unit</w:t>
            </w:r>
          </w:p>
        </w:tc>
        <w:tc>
          <w:tcPr>
            <w:tcW w:w="708" w:type="dxa"/>
            <w:tcBorders>
              <w:top w:val="single" w:sz="12" w:space="0" w:color="auto"/>
              <w:left w:val="single" w:sz="6" w:space="0" w:color="auto"/>
              <w:bottom w:val="single" w:sz="12" w:space="0" w:color="auto"/>
              <w:right w:val="single" w:sz="6" w:space="0" w:color="auto"/>
            </w:tcBorders>
            <w:hideMark/>
          </w:tcPr>
          <w:p w14:paraId="04B17F13" w14:textId="77777777" w:rsidR="006A7B88" w:rsidRPr="00190198" w:rsidRDefault="006A7B88" w:rsidP="007613B0">
            <w:pPr>
              <w:tabs>
                <w:tab w:val="right" w:pos="9072"/>
              </w:tabs>
              <w:jc w:val="center"/>
              <w:rPr>
                <w:lang w:val="en-GB"/>
              </w:rPr>
            </w:pPr>
            <w:r w:rsidRPr="00190198">
              <w:rPr>
                <w:rFonts w:ascii="Symbol" w:hAnsi="Symbol" w:hint="eastAsia"/>
                <w:i/>
                <w:lang w:val="en-GB"/>
              </w:rPr>
              <w:t>n</w:t>
            </w:r>
            <w:r w:rsidRPr="00190198">
              <w:rPr>
                <w:i/>
                <w:vertAlign w:val="subscript"/>
                <w:lang w:val="en-GB"/>
              </w:rPr>
              <w:t>i</w:t>
            </w:r>
          </w:p>
        </w:tc>
        <w:tc>
          <w:tcPr>
            <w:tcW w:w="1771" w:type="dxa"/>
            <w:tcBorders>
              <w:top w:val="single" w:sz="12" w:space="0" w:color="auto"/>
              <w:left w:val="single" w:sz="6" w:space="0" w:color="auto"/>
              <w:bottom w:val="single" w:sz="12" w:space="0" w:color="auto"/>
              <w:right w:val="single" w:sz="6" w:space="0" w:color="auto"/>
            </w:tcBorders>
            <w:hideMark/>
          </w:tcPr>
          <w:p w14:paraId="2864ADCE" w14:textId="77777777" w:rsidR="006A7B88" w:rsidRPr="00190198" w:rsidRDefault="006A7B88" w:rsidP="007613B0">
            <w:pPr>
              <w:tabs>
                <w:tab w:val="right" w:pos="9072"/>
              </w:tabs>
              <w:jc w:val="center"/>
              <w:rPr>
                <w:lang w:val="en-GB"/>
              </w:rPr>
            </w:pPr>
            <w:r w:rsidRPr="00190198">
              <w:rPr>
                <w:i/>
                <w:lang w:val="en-GB"/>
              </w:rPr>
              <w:t>c</w:t>
            </w:r>
            <w:r w:rsidRPr="00190198">
              <w:rPr>
                <w:i/>
                <w:vertAlign w:val="subscript"/>
                <w:lang w:val="en-GB"/>
              </w:rPr>
              <w:t>i</w:t>
            </w:r>
            <w:r w:rsidRPr="00190198">
              <w:rPr>
                <w:vertAlign w:val="subscript"/>
                <w:lang w:val="en-GB"/>
              </w:rPr>
              <w:t xml:space="preserve"> </w:t>
            </w:r>
            <w:r w:rsidRPr="00190198">
              <w:rPr>
                <w:lang w:val="en-GB"/>
              </w:rPr>
              <w:t xml:space="preserve">= </w:t>
            </w:r>
            <w:r w:rsidRPr="00190198">
              <w:rPr>
                <w:lang w:val="en-GB"/>
              </w:rPr>
              <w:sym w:font="Symbol" w:char="F0B6"/>
            </w:r>
            <w:r w:rsidRPr="00190198">
              <w:rPr>
                <w:lang w:val="en-GB"/>
              </w:rPr>
              <w:t>d</w:t>
            </w:r>
            <w:r w:rsidRPr="00190198">
              <w:rPr>
                <w:i/>
                <w:lang w:val="en-GB"/>
              </w:rPr>
              <w:t>l</w:t>
            </w:r>
            <w:r w:rsidRPr="00190198">
              <w:rPr>
                <w:lang w:val="en-GB"/>
              </w:rPr>
              <w:t>/</w:t>
            </w:r>
            <w:r w:rsidRPr="00190198">
              <w:rPr>
                <w:lang w:val="en-GB"/>
              </w:rPr>
              <w:sym w:font="Symbol" w:char="F0B6"/>
            </w:r>
            <w:r w:rsidRPr="00190198">
              <w:rPr>
                <w:i/>
                <w:lang w:val="en-GB"/>
              </w:rPr>
              <w:t>x</w:t>
            </w:r>
            <w:r w:rsidRPr="00190198">
              <w:rPr>
                <w:i/>
                <w:vertAlign w:val="subscript"/>
                <w:lang w:val="en-GB"/>
              </w:rPr>
              <w:t>i</w:t>
            </w:r>
          </w:p>
        </w:tc>
        <w:tc>
          <w:tcPr>
            <w:tcW w:w="1489" w:type="dxa"/>
            <w:tcBorders>
              <w:top w:val="single" w:sz="12" w:space="0" w:color="auto"/>
              <w:left w:val="single" w:sz="6" w:space="0" w:color="auto"/>
              <w:bottom w:val="single" w:sz="12" w:space="0" w:color="auto"/>
              <w:right w:val="single" w:sz="12" w:space="0" w:color="auto"/>
            </w:tcBorders>
            <w:hideMark/>
          </w:tcPr>
          <w:p w14:paraId="396C90A0" w14:textId="77777777" w:rsidR="006A7B88" w:rsidRPr="00190198" w:rsidRDefault="006A7B88" w:rsidP="007613B0">
            <w:pPr>
              <w:tabs>
                <w:tab w:val="right" w:pos="9072"/>
              </w:tabs>
              <w:jc w:val="center"/>
              <w:rPr>
                <w:lang w:val="en-GB"/>
              </w:rPr>
            </w:pPr>
            <w:r w:rsidRPr="00190198">
              <w:rPr>
                <w:i/>
                <w:lang w:val="en-GB"/>
              </w:rPr>
              <w:t>u</w:t>
            </w:r>
            <w:r w:rsidRPr="00190198">
              <w:rPr>
                <w:i/>
                <w:vertAlign w:val="subscript"/>
                <w:lang w:val="en-GB"/>
              </w:rPr>
              <w:t>i</w:t>
            </w:r>
            <w:r w:rsidRPr="00190198">
              <w:rPr>
                <w:i/>
                <w:lang w:val="en-GB"/>
              </w:rPr>
              <w:t>(dl</w:t>
            </w:r>
            <w:r w:rsidRPr="00190198">
              <w:rPr>
                <w:lang w:val="en-GB"/>
              </w:rPr>
              <w:t>) /µm</w:t>
            </w:r>
          </w:p>
        </w:tc>
      </w:tr>
      <w:tr w:rsidR="006A7B88" w:rsidRPr="00190198" w14:paraId="694CC90E" w14:textId="77777777" w:rsidTr="007613B0">
        <w:trPr>
          <w:trHeight w:val="600"/>
        </w:trPr>
        <w:tc>
          <w:tcPr>
            <w:tcW w:w="3047" w:type="dxa"/>
            <w:tcBorders>
              <w:top w:val="nil"/>
              <w:left w:val="single" w:sz="12" w:space="0" w:color="auto"/>
              <w:bottom w:val="single" w:sz="6" w:space="0" w:color="auto"/>
              <w:right w:val="single" w:sz="6" w:space="0" w:color="auto"/>
            </w:tcBorders>
          </w:tcPr>
          <w:p w14:paraId="1CD8DC3D" w14:textId="77777777" w:rsidR="006A7B88" w:rsidRPr="00190198" w:rsidRDefault="006A7B88" w:rsidP="007613B0">
            <w:pPr>
              <w:tabs>
                <w:tab w:val="right" w:pos="9072"/>
              </w:tabs>
              <w:jc w:val="left"/>
              <w:rPr>
                <w:lang w:val="en-GB"/>
              </w:rPr>
            </w:pPr>
          </w:p>
        </w:tc>
        <w:tc>
          <w:tcPr>
            <w:tcW w:w="992" w:type="dxa"/>
            <w:tcBorders>
              <w:top w:val="nil"/>
              <w:left w:val="single" w:sz="6" w:space="0" w:color="auto"/>
              <w:bottom w:val="single" w:sz="6" w:space="0" w:color="auto"/>
              <w:right w:val="single" w:sz="6" w:space="0" w:color="auto"/>
            </w:tcBorders>
          </w:tcPr>
          <w:p w14:paraId="4685D924" w14:textId="77777777" w:rsidR="006A7B88" w:rsidRPr="00190198" w:rsidRDefault="006A7B88" w:rsidP="007613B0">
            <w:pPr>
              <w:tabs>
                <w:tab w:val="right" w:pos="9072"/>
              </w:tabs>
              <w:jc w:val="center"/>
              <w:rPr>
                <w:lang w:val="en-GB"/>
              </w:rPr>
            </w:pPr>
          </w:p>
        </w:tc>
        <w:tc>
          <w:tcPr>
            <w:tcW w:w="1276" w:type="dxa"/>
            <w:tcBorders>
              <w:top w:val="nil"/>
              <w:left w:val="single" w:sz="6" w:space="0" w:color="auto"/>
              <w:bottom w:val="single" w:sz="6" w:space="0" w:color="auto"/>
              <w:right w:val="single" w:sz="6" w:space="0" w:color="auto"/>
            </w:tcBorders>
          </w:tcPr>
          <w:p w14:paraId="17E810C6" w14:textId="77777777" w:rsidR="006A7B88" w:rsidRPr="00190198" w:rsidRDefault="006A7B88" w:rsidP="007613B0">
            <w:pPr>
              <w:tabs>
                <w:tab w:val="right" w:pos="9072"/>
              </w:tabs>
              <w:jc w:val="center"/>
              <w:rPr>
                <w:lang w:val="en-GB"/>
              </w:rPr>
            </w:pPr>
          </w:p>
        </w:tc>
        <w:tc>
          <w:tcPr>
            <w:tcW w:w="708" w:type="dxa"/>
            <w:tcBorders>
              <w:top w:val="nil"/>
              <w:left w:val="single" w:sz="6" w:space="0" w:color="auto"/>
              <w:bottom w:val="single" w:sz="6" w:space="0" w:color="auto"/>
              <w:right w:val="single" w:sz="6" w:space="0" w:color="auto"/>
            </w:tcBorders>
          </w:tcPr>
          <w:p w14:paraId="3CD8357A" w14:textId="77777777" w:rsidR="006A7B88" w:rsidRPr="00190198" w:rsidRDefault="006A7B88" w:rsidP="007613B0">
            <w:pPr>
              <w:tabs>
                <w:tab w:val="right" w:pos="9072"/>
              </w:tabs>
              <w:jc w:val="center"/>
              <w:rPr>
                <w:lang w:val="en-GB"/>
              </w:rPr>
            </w:pPr>
          </w:p>
        </w:tc>
        <w:tc>
          <w:tcPr>
            <w:tcW w:w="1771" w:type="dxa"/>
            <w:tcBorders>
              <w:top w:val="nil"/>
              <w:left w:val="single" w:sz="6" w:space="0" w:color="auto"/>
              <w:bottom w:val="single" w:sz="6" w:space="0" w:color="auto"/>
              <w:right w:val="single" w:sz="6" w:space="0" w:color="auto"/>
            </w:tcBorders>
          </w:tcPr>
          <w:p w14:paraId="4D884FFA" w14:textId="77777777" w:rsidR="006A7B88" w:rsidRPr="00190198" w:rsidRDefault="006A7B88" w:rsidP="007613B0">
            <w:pPr>
              <w:tabs>
                <w:tab w:val="right" w:pos="9072"/>
              </w:tabs>
              <w:jc w:val="center"/>
              <w:rPr>
                <w:lang w:val="en-GB"/>
              </w:rPr>
            </w:pPr>
          </w:p>
        </w:tc>
        <w:tc>
          <w:tcPr>
            <w:tcW w:w="1489" w:type="dxa"/>
            <w:tcBorders>
              <w:top w:val="nil"/>
              <w:left w:val="single" w:sz="6" w:space="0" w:color="auto"/>
              <w:bottom w:val="single" w:sz="6" w:space="0" w:color="auto"/>
              <w:right w:val="single" w:sz="12" w:space="0" w:color="auto"/>
            </w:tcBorders>
          </w:tcPr>
          <w:p w14:paraId="01710EAE" w14:textId="77777777" w:rsidR="006A7B88" w:rsidRPr="00190198" w:rsidRDefault="006A7B88" w:rsidP="007613B0">
            <w:pPr>
              <w:tabs>
                <w:tab w:val="right" w:pos="9072"/>
              </w:tabs>
              <w:jc w:val="center"/>
              <w:rPr>
                <w:lang w:val="en-GB"/>
              </w:rPr>
            </w:pPr>
          </w:p>
        </w:tc>
      </w:tr>
      <w:tr w:rsidR="006A7B88" w:rsidRPr="00190198" w14:paraId="33B7EAE1"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41C9FF7E"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7D5B6F2B"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37C4C220"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258290F"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5B2BD959"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3C3E0E50" w14:textId="77777777" w:rsidR="006A7B88" w:rsidRPr="00190198" w:rsidRDefault="006A7B88" w:rsidP="007613B0">
            <w:pPr>
              <w:tabs>
                <w:tab w:val="right" w:pos="9072"/>
              </w:tabs>
              <w:jc w:val="center"/>
              <w:rPr>
                <w:lang w:val="en-GB"/>
              </w:rPr>
            </w:pPr>
          </w:p>
        </w:tc>
      </w:tr>
      <w:tr w:rsidR="006A7B88" w:rsidRPr="00190198" w14:paraId="61FAA86E"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31BA8F15"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5D0FEE32"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4731DEA3"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5F36F153"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59D4DC63"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561796A2" w14:textId="77777777" w:rsidR="006A7B88" w:rsidRPr="00190198" w:rsidRDefault="006A7B88" w:rsidP="007613B0">
            <w:pPr>
              <w:tabs>
                <w:tab w:val="right" w:pos="9072"/>
              </w:tabs>
              <w:jc w:val="center"/>
              <w:rPr>
                <w:lang w:val="en-GB"/>
              </w:rPr>
            </w:pPr>
          </w:p>
        </w:tc>
      </w:tr>
      <w:tr w:rsidR="006A7B88" w:rsidRPr="00190198" w14:paraId="09EDA0EF"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681C6D28"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259498A2"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50B0576B"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816722D"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3026D4B5"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5CBAEB9C" w14:textId="77777777" w:rsidR="006A7B88" w:rsidRPr="00190198" w:rsidRDefault="006A7B88" w:rsidP="007613B0">
            <w:pPr>
              <w:tabs>
                <w:tab w:val="right" w:pos="9072"/>
              </w:tabs>
              <w:jc w:val="center"/>
              <w:rPr>
                <w:lang w:val="en-GB"/>
              </w:rPr>
            </w:pPr>
          </w:p>
        </w:tc>
      </w:tr>
      <w:tr w:rsidR="006A7B88" w:rsidRPr="00190198" w14:paraId="405D118A"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7C439B74"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48AFBEE8"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193B973C"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E25A12E"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24A52706"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6ED6C554" w14:textId="77777777" w:rsidR="006A7B88" w:rsidRPr="00190198" w:rsidRDefault="006A7B88" w:rsidP="007613B0">
            <w:pPr>
              <w:tabs>
                <w:tab w:val="right" w:pos="9072"/>
              </w:tabs>
              <w:jc w:val="center"/>
              <w:rPr>
                <w:lang w:val="en-GB"/>
              </w:rPr>
            </w:pPr>
          </w:p>
        </w:tc>
      </w:tr>
      <w:tr w:rsidR="006A7B88" w:rsidRPr="00190198" w14:paraId="65CB066A"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4D76B5DF"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5E2C0493"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59B87010"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3B00EE6"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64385569"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60317E66" w14:textId="77777777" w:rsidR="006A7B88" w:rsidRPr="00190198" w:rsidRDefault="006A7B88" w:rsidP="007613B0">
            <w:pPr>
              <w:tabs>
                <w:tab w:val="right" w:pos="9072"/>
              </w:tabs>
              <w:jc w:val="center"/>
              <w:rPr>
                <w:lang w:val="en-GB"/>
              </w:rPr>
            </w:pPr>
          </w:p>
        </w:tc>
      </w:tr>
      <w:tr w:rsidR="006A7B88" w:rsidRPr="00190198" w14:paraId="771416F7"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38C1F7E9"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0450729A"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1D491FF7"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95C0C0B"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7B46B625"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62C69377" w14:textId="77777777" w:rsidR="006A7B88" w:rsidRPr="00190198" w:rsidRDefault="006A7B88" w:rsidP="007613B0">
            <w:pPr>
              <w:tabs>
                <w:tab w:val="right" w:pos="9072"/>
              </w:tabs>
              <w:jc w:val="center"/>
              <w:rPr>
                <w:lang w:val="en-GB"/>
              </w:rPr>
            </w:pPr>
          </w:p>
        </w:tc>
      </w:tr>
      <w:tr w:rsidR="006A7B88" w:rsidRPr="00190198" w14:paraId="51EE2BC6"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58C200A8"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25A021D9"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0B3F3C21"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3F27D9B"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58C95EF3"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404C8098" w14:textId="77777777" w:rsidR="006A7B88" w:rsidRPr="00190198" w:rsidRDefault="006A7B88" w:rsidP="007613B0">
            <w:pPr>
              <w:tabs>
                <w:tab w:val="right" w:pos="9072"/>
              </w:tabs>
              <w:jc w:val="center"/>
              <w:rPr>
                <w:lang w:val="en-GB"/>
              </w:rPr>
            </w:pPr>
          </w:p>
        </w:tc>
      </w:tr>
      <w:tr w:rsidR="006A7B88" w:rsidRPr="00190198" w14:paraId="6AEE1CA3"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39121BA1"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06BABB05"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44A565E4"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1842A2B7"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4F68F383"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0852C8CD" w14:textId="77777777" w:rsidR="006A7B88" w:rsidRPr="00190198" w:rsidRDefault="006A7B88" w:rsidP="007613B0">
            <w:pPr>
              <w:tabs>
                <w:tab w:val="right" w:pos="9072"/>
              </w:tabs>
              <w:jc w:val="center"/>
              <w:rPr>
                <w:lang w:val="en-GB"/>
              </w:rPr>
            </w:pPr>
          </w:p>
        </w:tc>
      </w:tr>
      <w:tr w:rsidR="006A7B88" w:rsidRPr="00190198" w14:paraId="1006AE3C"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4BCD93F2"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28B19923"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404C8E9C"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5407C7AB"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4983D286"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61302BA1" w14:textId="77777777" w:rsidR="006A7B88" w:rsidRPr="00190198" w:rsidRDefault="006A7B88" w:rsidP="007613B0">
            <w:pPr>
              <w:tabs>
                <w:tab w:val="right" w:pos="9072"/>
              </w:tabs>
              <w:jc w:val="center"/>
              <w:rPr>
                <w:lang w:val="en-GB"/>
              </w:rPr>
            </w:pPr>
          </w:p>
        </w:tc>
      </w:tr>
      <w:tr w:rsidR="006A7B88" w:rsidRPr="00190198" w14:paraId="5E521F59"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6B56F91A"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029F5B53"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367F42D0"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4B33003A"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7E9C99AB"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58C024D7" w14:textId="77777777" w:rsidR="006A7B88" w:rsidRPr="00190198" w:rsidRDefault="006A7B88" w:rsidP="007613B0">
            <w:pPr>
              <w:tabs>
                <w:tab w:val="right" w:pos="9072"/>
              </w:tabs>
              <w:jc w:val="center"/>
              <w:rPr>
                <w:lang w:val="en-GB"/>
              </w:rPr>
            </w:pPr>
          </w:p>
        </w:tc>
      </w:tr>
      <w:tr w:rsidR="006A7B88" w:rsidRPr="00190198" w14:paraId="5DFF8706" w14:textId="77777777" w:rsidTr="007613B0">
        <w:trPr>
          <w:trHeight w:val="600"/>
        </w:trPr>
        <w:tc>
          <w:tcPr>
            <w:tcW w:w="3047" w:type="dxa"/>
            <w:tcBorders>
              <w:top w:val="single" w:sz="6" w:space="0" w:color="auto"/>
              <w:left w:val="single" w:sz="12" w:space="0" w:color="auto"/>
              <w:bottom w:val="single" w:sz="6" w:space="0" w:color="auto"/>
              <w:right w:val="single" w:sz="6" w:space="0" w:color="auto"/>
            </w:tcBorders>
          </w:tcPr>
          <w:p w14:paraId="0F8991F8"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6" w:space="0" w:color="auto"/>
              <w:right w:val="single" w:sz="6" w:space="0" w:color="auto"/>
            </w:tcBorders>
          </w:tcPr>
          <w:p w14:paraId="2BB19B81"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6" w:space="0" w:color="auto"/>
              <w:right w:val="single" w:sz="6" w:space="0" w:color="auto"/>
            </w:tcBorders>
          </w:tcPr>
          <w:p w14:paraId="57A7777B"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6" w:space="0" w:color="auto"/>
              <w:right w:val="single" w:sz="6" w:space="0" w:color="auto"/>
            </w:tcBorders>
          </w:tcPr>
          <w:p w14:paraId="4E9F9ECC"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6" w:space="0" w:color="auto"/>
              <w:right w:val="single" w:sz="6" w:space="0" w:color="auto"/>
            </w:tcBorders>
          </w:tcPr>
          <w:p w14:paraId="5C9BCE47"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6" w:space="0" w:color="auto"/>
              <w:right w:val="single" w:sz="12" w:space="0" w:color="auto"/>
            </w:tcBorders>
          </w:tcPr>
          <w:p w14:paraId="60454F49" w14:textId="77777777" w:rsidR="006A7B88" w:rsidRPr="00190198" w:rsidRDefault="006A7B88" w:rsidP="007613B0">
            <w:pPr>
              <w:tabs>
                <w:tab w:val="right" w:pos="9072"/>
              </w:tabs>
              <w:jc w:val="center"/>
              <w:rPr>
                <w:lang w:val="en-GB"/>
              </w:rPr>
            </w:pPr>
          </w:p>
        </w:tc>
      </w:tr>
      <w:tr w:rsidR="006A7B88" w:rsidRPr="00190198" w14:paraId="247DDCE8" w14:textId="77777777" w:rsidTr="007613B0">
        <w:trPr>
          <w:trHeight w:val="600"/>
        </w:trPr>
        <w:tc>
          <w:tcPr>
            <w:tcW w:w="3047" w:type="dxa"/>
            <w:tcBorders>
              <w:top w:val="single" w:sz="6" w:space="0" w:color="auto"/>
              <w:left w:val="single" w:sz="12" w:space="0" w:color="auto"/>
              <w:bottom w:val="single" w:sz="12" w:space="0" w:color="auto"/>
              <w:right w:val="single" w:sz="6" w:space="0" w:color="auto"/>
            </w:tcBorders>
          </w:tcPr>
          <w:p w14:paraId="2EEBD369" w14:textId="77777777" w:rsidR="006A7B88" w:rsidRPr="00190198" w:rsidRDefault="006A7B88" w:rsidP="007613B0">
            <w:pPr>
              <w:tabs>
                <w:tab w:val="right" w:pos="9072"/>
              </w:tabs>
              <w:jc w:val="left"/>
              <w:rPr>
                <w:lang w:val="en-GB"/>
              </w:rPr>
            </w:pPr>
          </w:p>
        </w:tc>
        <w:tc>
          <w:tcPr>
            <w:tcW w:w="992" w:type="dxa"/>
            <w:tcBorders>
              <w:top w:val="single" w:sz="6" w:space="0" w:color="auto"/>
              <w:left w:val="single" w:sz="6" w:space="0" w:color="auto"/>
              <w:bottom w:val="single" w:sz="12" w:space="0" w:color="auto"/>
              <w:right w:val="single" w:sz="6" w:space="0" w:color="auto"/>
            </w:tcBorders>
          </w:tcPr>
          <w:p w14:paraId="281A4201" w14:textId="77777777" w:rsidR="006A7B88" w:rsidRPr="00190198" w:rsidRDefault="006A7B88" w:rsidP="007613B0">
            <w:pPr>
              <w:tabs>
                <w:tab w:val="right" w:pos="9072"/>
              </w:tabs>
              <w:jc w:val="center"/>
              <w:rPr>
                <w:lang w:val="en-GB"/>
              </w:rPr>
            </w:pPr>
          </w:p>
        </w:tc>
        <w:tc>
          <w:tcPr>
            <w:tcW w:w="1276" w:type="dxa"/>
            <w:tcBorders>
              <w:top w:val="single" w:sz="6" w:space="0" w:color="auto"/>
              <w:left w:val="single" w:sz="6" w:space="0" w:color="auto"/>
              <w:bottom w:val="single" w:sz="12" w:space="0" w:color="auto"/>
              <w:right w:val="single" w:sz="6" w:space="0" w:color="auto"/>
            </w:tcBorders>
          </w:tcPr>
          <w:p w14:paraId="1262F88F" w14:textId="77777777" w:rsidR="006A7B88" w:rsidRPr="00190198" w:rsidRDefault="006A7B88" w:rsidP="007613B0">
            <w:pPr>
              <w:tabs>
                <w:tab w:val="right" w:pos="9072"/>
              </w:tabs>
              <w:jc w:val="center"/>
              <w:rPr>
                <w:lang w:val="en-GB"/>
              </w:rPr>
            </w:pPr>
          </w:p>
        </w:tc>
        <w:tc>
          <w:tcPr>
            <w:tcW w:w="708" w:type="dxa"/>
            <w:tcBorders>
              <w:top w:val="single" w:sz="6" w:space="0" w:color="auto"/>
              <w:left w:val="single" w:sz="6" w:space="0" w:color="auto"/>
              <w:bottom w:val="single" w:sz="12" w:space="0" w:color="auto"/>
              <w:right w:val="single" w:sz="6" w:space="0" w:color="auto"/>
            </w:tcBorders>
          </w:tcPr>
          <w:p w14:paraId="79E63168" w14:textId="77777777" w:rsidR="006A7B88" w:rsidRPr="00190198" w:rsidRDefault="006A7B88" w:rsidP="007613B0">
            <w:pPr>
              <w:tabs>
                <w:tab w:val="right" w:pos="9072"/>
              </w:tabs>
              <w:jc w:val="center"/>
              <w:rPr>
                <w:lang w:val="en-GB"/>
              </w:rPr>
            </w:pPr>
          </w:p>
        </w:tc>
        <w:tc>
          <w:tcPr>
            <w:tcW w:w="1771" w:type="dxa"/>
            <w:tcBorders>
              <w:top w:val="single" w:sz="6" w:space="0" w:color="auto"/>
              <w:left w:val="single" w:sz="6" w:space="0" w:color="auto"/>
              <w:bottom w:val="single" w:sz="12" w:space="0" w:color="auto"/>
              <w:right w:val="single" w:sz="6" w:space="0" w:color="auto"/>
            </w:tcBorders>
          </w:tcPr>
          <w:p w14:paraId="0F024A1C" w14:textId="77777777" w:rsidR="006A7B88" w:rsidRPr="00190198" w:rsidRDefault="006A7B88" w:rsidP="007613B0">
            <w:pPr>
              <w:tabs>
                <w:tab w:val="right" w:pos="9072"/>
              </w:tabs>
              <w:jc w:val="center"/>
              <w:rPr>
                <w:lang w:val="en-GB"/>
              </w:rPr>
            </w:pPr>
          </w:p>
        </w:tc>
        <w:tc>
          <w:tcPr>
            <w:tcW w:w="1489" w:type="dxa"/>
            <w:tcBorders>
              <w:top w:val="single" w:sz="6" w:space="0" w:color="auto"/>
              <w:left w:val="single" w:sz="6" w:space="0" w:color="auto"/>
              <w:bottom w:val="single" w:sz="12" w:space="0" w:color="auto"/>
              <w:right w:val="single" w:sz="12" w:space="0" w:color="auto"/>
            </w:tcBorders>
          </w:tcPr>
          <w:p w14:paraId="65E1DA3A" w14:textId="77777777" w:rsidR="006A7B88" w:rsidRPr="00190198" w:rsidRDefault="006A7B88" w:rsidP="007613B0">
            <w:pPr>
              <w:tabs>
                <w:tab w:val="right" w:pos="9072"/>
              </w:tabs>
              <w:jc w:val="center"/>
              <w:rPr>
                <w:lang w:val="en-GB"/>
              </w:rPr>
            </w:pPr>
          </w:p>
        </w:tc>
      </w:tr>
    </w:tbl>
    <w:p w14:paraId="0B907119" w14:textId="77777777" w:rsidR="006A7B88" w:rsidRDefault="006A7B88" w:rsidP="006A7B88">
      <w:pPr>
        <w:tabs>
          <w:tab w:val="left" w:pos="3969"/>
          <w:tab w:val="left" w:pos="4395"/>
          <w:tab w:val="left" w:pos="4820"/>
          <w:tab w:val="left" w:pos="7938"/>
          <w:tab w:val="right" w:pos="9072"/>
        </w:tabs>
        <w:spacing w:before="120" w:after="60"/>
        <w:rPr>
          <w:lang w:val="en-GB"/>
        </w:rPr>
      </w:pPr>
    </w:p>
    <w:p w14:paraId="3F4F8421" w14:textId="77777777" w:rsidR="006A7B88" w:rsidRPr="00190198" w:rsidRDefault="006A7B88" w:rsidP="006A7B88">
      <w:pPr>
        <w:tabs>
          <w:tab w:val="left" w:pos="3969"/>
          <w:tab w:val="left" w:pos="4395"/>
          <w:tab w:val="left" w:pos="4820"/>
          <w:tab w:val="left" w:pos="7938"/>
          <w:tab w:val="right" w:pos="9072"/>
        </w:tabs>
        <w:spacing w:before="120" w:after="60"/>
        <w:rPr>
          <w:lang w:val="en-GB"/>
        </w:rPr>
      </w:pPr>
    </w:p>
    <w:p w14:paraId="688CBABB" w14:textId="77777777" w:rsidR="006A7B88" w:rsidRPr="00190198" w:rsidRDefault="006A7B88" w:rsidP="006A7B88">
      <w:pPr>
        <w:tabs>
          <w:tab w:val="left" w:pos="3969"/>
          <w:tab w:val="left" w:pos="4395"/>
          <w:tab w:val="left" w:pos="4820"/>
          <w:tab w:val="left" w:pos="7938"/>
          <w:tab w:val="right" w:pos="9072"/>
        </w:tabs>
        <w:spacing w:after="240"/>
        <w:rPr>
          <w:lang w:val="en-GB"/>
        </w:rPr>
      </w:pPr>
      <w:r w:rsidRPr="00190198">
        <w:rPr>
          <w:lang w:val="en-GB"/>
        </w:rPr>
        <w:tab/>
      </w:r>
    </w:p>
    <w:p w14:paraId="79E4827A" w14:textId="77777777" w:rsidR="006A7B88" w:rsidRPr="006F404A" w:rsidRDefault="006A7B88" w:rsidP="006A7B88">
      <w:pPr>
        <w:rPr>
          <w:rFonts w:ascii="Times New Roman" w:hAnsi="Times New Roman" w:cs="Times New Roman"/>
          <w:i/>
          <w:szCs w:val="22"/>
          <w:lang w:val="en-GB"/>
        </w:rPr>
      </w:pPr>
      <w:r w:rsidRPr="006F404A">
        <w:rPr>
          <w:lang w:val="en-GB"/>
        </w:rPr>
        <w:t xml:space="preserve">Combined standard uncertainty: </w:t>
      </w:r>
      <w:r w:rsidRPr="006F404A">
        <w:rPr>
          <w:rFonts w:ascii="Times New Roman" w:hAnsi="Times New Roman" w:cs="Times New Roman"/>
          <w:i/>
          <w:szCs w:val="22"/>
          <w:lang w:val="en-GB"/>
        </w:rPr>
        <w:t>u</w:t>
      </w:r>
      <w:r w:rsidRPr="006F404A">
        <w:rPr>
          <w:rFonts w:ascii="Times New Roman" w:hAnsi="Times New Roman" w:cs="Times New Roman"/>
          <w:i/>
          <w:szCs w:val="22"/>
          <w:vertAlign w:val="subscript"/>
          <w:lang w:val="en-GB"/>
        </w:rPr>
        <w:t>c</w:t>
      </w:r>
      <w:r w:rsidRPr="006F404A">
        <w:rPr>
          <w:rFonts w:ascii="Times New Roman" w:hAnsi="Times New Roman" w:cs="Times New Roman"/>
          <w:i/>
          <w:szCs w:val="22"/>
          <w:lang w:val="en-GB"/>
        </w:rPr>
        <w:t>(</w:t>
      </w:r>
      <w:r>
        <w:rPr>
          <w:rFonts w:ascii="Times New Roman" w:hAnsi="Times New Roman" w:cs="Times New Roman"/>
          <w:i/>
          <w:szCs w:val="22"/>
          <w:lang w:val="en-GB"/>
        </w:rPr>
        <w:t>L</w:t>
      </w:r>
      <w:r w:rsidRPr="006F404A">
        <w:rPr>
          <w:rFonts w:ascii="Times New Roman" w:hAnsi="Times New Roman" w:cs="Times New Roman"/>
          <w:i/>
          <w:szCs w:val="22"/>
          <w:lang w:val="en-GB"/>
        </w:rPr>
        <w:t>)</w:t>
      </w:r>
      <w:r w:rsidRPr="006F404A">
        <w:rPr>
          <w:lang w:val="en-GB"/>
        </w:rPr>
        <w:t>=</w:t>
      </w:r>
    </w:p>
    <w:p w14:paraId="4E6E8DC3" w14:textId="77777777" w:rsidR="006A7B88" w:rsidRDefault="006A7B88" w:rsidP="006A7B88">
      <w:pPr>
        <w:rPr>
          <w:lang w:val="en-GB"/>
        </w:rPr>
      </w:pPr>
      <w:r w:rsidRPr="006F404A">
        <w:rPr>
          <w:lang w:val="en-GB"/>
        </w:rPr>
        <w:t xml:space="preserve">Expanded uncertainty: </w:t>
      </w:r>
      <w:r w:rsidRPr="006F404A">
        <w:rPr>
          <w:rFonts w:ascii="Times New Roman" w:hAnsi="Times New Roman" w:cs="Times New Roman"/>
          <w:i/>
          <w:szCs w:val="22"/>
          <w:lang w:val="en-GB"/>
        </w:rPr>
        <w:t>U(</w:t>
      </w:r>
      <w:r>
        <w:rPr>
          <w:rFonts w:ascii="Times New Roman" w:hAnsi="Times New Roman" w:cs="Times New Roman"/>
          <w:i/>
          <w:szCs w:val="22"/>
          <w:lang w:val="en-GB"/>
        </w:rPr>
        <w:t>L</w:t>
      </w:r>
      <w:r w:rsidRPr="006F404A">
        <w:rPr>
          <w:rFonts w:ascii="Times New Roman" w:hAnsi="Times New Roman" w:cs="Times New Roman"/>
          <w:i/>
          <w:szCs w:val="22"/>
          <w:lang w:val="en-GB"/>
        </w:rPr>
        <w:t xml:space="preserve">) </w:t>
      </w:r>
      <w:r w:rsidRPr="006F404A">
        <w:rPr>
          <w:rFonts w:ascii="Times New Roman" w:hAnsi="Times New Roman" w:cs="Times New Roman"/>
          <w:szCs w:val="22"/>
          <w:lang w:val="en-GB"/>
        </w:rPr>
        <w:t>(</w:t>
      </w:r>
      <w:r w:rsidRPr="006F404A">
        <w:rPr>
          <w:rFonts w:ascii="Times New Roman" w:hAnsi="Times New Roman" w:cs="Times New Roman"/>
          <w:i/>
          <w:szCs w:val="22"/>
          <w:lang w:val="en-GB"/>
        </w:rPr>
        <w:t>k</w:t>
      </w:r>
      <w:r w:rsidRPr="006F404A">
        <w:rPr>
          <w:rFonts w:ascii="Times New Roman" w:hAnsi="Times New Roman" w:cs="Times New Roman"/>
          <w:szCs w:val="22"/>
          <w:lang w:val="en-GB"/>
        </w:rPr>
        <w:t xml:space="preserve"> =</w:t>
      </w:r>
      <w:r>
        <w:rPr>
          <w:rFonts w:ascii="Times New Roman" w:hAnsi="Times New Roman" w:cs="Times New Roman"/>
          <w:szCs w:val="22"/>
          <w:lang w:val="en-GB"/>
        </w:rPr>
        <w:t xml:space="preserve">  </w:t>
      </w:r>
      <w:r w:rsidRPr="006F404A">
        <w:rPr>
          <w:rFonts w:ascii="Times New Roman" w:hAnsi="Times New Roman" w:cs="Times New Roman"/>
          <w:szCs w:val="22"/>
          <w:lang w:val="en-GB"/>
        </w:rPr>
        <w:t xml:space="preserve">) </w:t>
      </w:r>
      <w:r w:rsidRPr="006F404A">
        <w:rPr>
          <w:lang w:val="en-GB"/>
        </w:rPr>
        <w:t>=</w:t>
      </w:r>
      <w:r>
        <w:rPr>
          <w:lang w:val="en-GB"/>
        </w:rPr>
        <w:t xml:space="preserve"> </w:t>
      </w:r>
    </w:p>
    <w:p w14:paraId="02414D08" w14:textId="77777777" w:rsidR="006A7B88" w:rsidRPr="006F404A" w:rsidRDefault="006A7B88" w:rsidP="006A7B88">
      <w:pPr>
        <w:rPr>
          <w:lang w:val="en-GB"/>
        </w:rPr>
      </w:pPr>
      <m:oMath>
        <m:r>
          <w:rPr>
            <w:rFonts w:ascii="Cambria Math"/>
            <w:lang w:val="en-GB"/>
          </w:rPr>
          <m:t>U</m:t>
        </m:r>
        <m:d>
          <m:dPr>
            <m:ctrlPr>
              <w:rPr>
                <w:rFonts w:ascii="Cambria Math" w:hAnsi="Cambria Math"/>
                <w:i/>
                <w:lang w:val="en-GB"/>
              </w:rPr>
            </m:ctrlPr>
          </m:dPr>
          <m:e>
            <m:r>
              <w:rPr>
                <w:rFonts w:ascii="Cambria Math"/>
                <w:lang w:val="en-GB"/>
              </w:rPr>
              <m:t>L</m:t>
            </m:r>
          </m:e>
        </m:d>
        <m:r>
          <w:rPr>
            <w:rFonts w:ascii="Cambria Math"/>
            <w:lang w:val="en-GB"/>
          </w:rPr>
          <m:t>=Q</m:t>
        </m:r>
        <m:d>
          <m:dPr>
            <m:begChr m:val="["/>
            <m:endChr m:val="]"/>
            <m:ctrlPr>
              <w:rPr>
                <w:rFonts w:ascii="Cambria Math" w:hAnsi="Cambria Math"/>
                <w:i/>
                <w:lang w:val="en-GB"/>
              </w:rPr>
            </m:ctrlPr>
          </m:dPr>
          <m:e>
            <m:r>
              <w:rPr>
                <w:rFonts w:ascii="Cambria Math"/>
                <w:lang w:val="en-GB"/>
              </w:rPr>
              <m:t>A,BL</m:t>
            </m:r>
          </m:e>
        </m:d>
        <m:r>
          <w:rPr>
            <w:rFonts w:ascii="Cambria Math" w:hAnsi="Cambria Math"/>
            <w:lang w:val="en-GB"/>
          </w:rPr>
          <m:t>=</m:t>
        </m:r>
        <m:rad>
          <m:radPr>
            <m:degHide m:val="1"/>
            <m:ctrlPr>
              <w:rPr>
                <w:rFonts w:ascii="Cambria Math" w:hAnsi="Cambria Math"/>
                <w:i/>
                <w:lang w:val="en-GB"/>
              </w:rPr>
            </m:ctrlPr>
          </m:radPr>
          <m:deg/>
          <m:e>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(BL)</m:t>
                </m:r>
              </m:e>
              <m:sup>
                <m:r>
                  <w:rPr>
                    <w:rFonts w:ascii="Cambria Math" w:hAnsi="Cambria Math"/>
                    <w:lang w:val="en-GB"/>
                  </w:rPr>
                  <m:t>2</m:t>
                </m:r>
              </m:sup>
            </m:sSup>
          </m:e>
        </m:rad>
        <m:r>
          <w:rPr>
            <w:rFonts w:ascii="Cambria Math" w:hAnsi="Cambria Math"/>
            <w:lang w:val="en-GB"/>
          </w:rPr>
          <m:t xml:space="preserve">= </m:t>
        </m:r>
      </m:oMath>
      <w:r>
        <w:rPr>
          <w:lang w:val="en-GB"/>
        </w:rPr>
        <w:t xml:space="preserve"> </w:t>
      </w:r>
    </w:p>
    <w:p w14:paraId="717A8FAC" w14:textId="63E2F3AA" w:rsidR="006A7B88" w:rsidRDefault="006A7B88">
      <w:pPr>
        <w:spacing w:after="160" w:line="259" w:lineRule="auto"/>
        <w:jc w:val="left"/>
        <w:rPr>
          <w:lang w:val="en-GB"/>
        </w:rPr>
      </w:pPr>
      <w:r>
        <w:rPr>
          <w:lang w:val="en-GB"/>
        </w:rPr>
        <w:br w:type="page"/>
      </w:r>
    </w:p>
    <w:p w14:paraId="02280442" w14:textId="77777777" w:rsidR="009B04BF" w:rsidRPr="00190198" w:rsidRDefault="009B04BF" w:rsidP="009B04BF">
      <w:pPr>
        <w:rPr>
          <w:lang w:val="en-GB"/>
        </w:rPr>
      </w:pPr>
      <w:r w:rsidRPr="00190198">
        <w:rPr>
          <w:lang w:val="en-GB"/>
        </w:rPr>
        <w:lastRenderedPageBreak/>
        <w:t xml:space="preserve">Please state your CMC uncertainty for your corresponding measurement service(s) (if you have such a CMC) and the identifier of the service (in MRA Appendix C). </w:t>
      </w:r>
    </w:p>
    <w:p w14:paraId="54380D8D" w14:textId="77777777" w:rsidR="009B04BF" w:rsidRPr="00190198" w:rsidRDefault="009B04BF" w:rsidP="009B04BF">
      <w:pPr>
        <w:tabs>
          <w:tab w:val="left" w:leader="dot" w:pos="9356"/>
        </w:tabs>
        <w:rPr>
          <w:lang w:val="en-GB"/>
        </w:rPr>
      </w:pPr>
      <w:r w:rsidRPr="00190198">
        <w:rPr>
          <w:lang w:val="en-GB"/>
        </w:rPr>
        <w:tab/>
      </w:r>
    </w:p>
    <w:p w14:paraId="056CAF33" w14:textId="77777777" w:rsidR="009B04BF" w:rsidRPr="00190198" w:rsidRDefault="009B04BF" w:rsidP="009B04BF">
      <w:pPr>
        <w:tabs>
          <w:tab w:val="left" w:leader="dot" w:pos="9356"/>
        </w:tabs>
        <w:rPr>
          <w:lang w:val="en-GB"/>
        </w:rPr>
      </w:pPr>
      <w:r w:rsidRPr="00190198">
        <w:rPr>
          <w:lang w:val="en-GB"/>
        </w:rPr>
        <w:tab/>
      </w:r>
    </w:p>
    <w:p w14:paraId="3589DAE5" w14:textId="77777777" w:rsidR="009B04BF" w:rsidRPr="00190198" w:rsidRDefault="009B04BF" w:rsidP="009B04BF">
      <w:pPr>
        <w:tabs>
          <w:tab w:val="left" w:leader="dot" w:pos="9356"/>
        </w:tabs>
        <w:rPr>
          <w:lang w:val="en-GB"/>
        </w:rPr>
      </w:pPr>
      <w:r w:rsidRPr="00190198">
        <w:rPr>
          <w:lang w:val="en-GB"/>
        </w:rPr>
        <w:tab/>
      </w:r>
    </w:p>
    <w:p w14:paraId="049F52D8" w14:textId="77777777" w:rsidR="009B04BF" w:rsidRPr="00190198" w:rsidRDefault="009B04BF" w:rsidP="009B04BF">
      <w:pPr>
        <w:rPr>
          <w:lang w:val="en-GB"/>
        </w:rPr>
      </w:pPr>
    </w:p>
    <w:p w14:paraId="6F39DF2A" w14:textId="77777777" w:rsidR="009B04BF" w:rsidRPr="00190198" w:rsidRDefault="009B04BF" w:rsidP="009B04BF">
      <w:pPr>
        <w:rPr>
          <w:lang w:val="en-GB"/>
        </w:rPr>
      </w:pPr>
    </w:p>
    <w:p w14:paraId="1A333F07" w14:textId="491BA70A" w:rsidR="009B04BF" w:rsidRPr="00190198" w:rsidRDefault="009B04BF" w:rsidP="009B04BF">
      <w:pPr>
        <w:rPr>
          <w:lang w:val="en-GB"/>
        </w:rPr>
      </w:pPr>
      <w:r w:rsidRPr="00190198">
        <w:rPr>
          <w:lang w:val="en-GB"/>
        </w:rPr>
        <w:t>If the uncertainty of the CMC is</w:t>
      </w:r>
      <w:r w:rsidR="00B52904" w:rsidRPr="00190198">
        <w:rPr>
          <w:lang w:val="en-GB"/>
        </w:rPr>
        <w:t xml:space="preserve"> significantly </w:t>
      </w:r>
      <w:r w:rsidRPr="00190198">
        <w:rPr>
          <w:lang w:val="en-GB"/>
        </w:rPr>
        <w:t xml:space="preserve">different </w:t>
      </w:r>
      <w:r w:rsidR="00B52904" w:rsidRPr="00190198">
        <w:rPr>
          <w:lang w:val="en-GB"/>
        </w:rPr>
        <w:t>than that of the related CMC</w:t>
      </w:r>
      <w:r w:rsidRPr="00190198">
        <w:rPr>
          <w:lang w:val="en-GB"/>
        </w:rPr>
        <w:t>, please explain why this is the case.</w:t>
      </w:r>
    </w:p>
    <w:p w14:paraId="3B05B141" w14:textId="77777777" w:rsidR="009B04BF" w:rsidRPr="00190198" w:rsidRDefault="009B04BF" w:rsidP="009B04BF">
      <w:pPr>
        <w:tabs>
          <w:tab w:val="left" w:leader="dot" w:pos="9356"/>
        </w:tabs>
        <w:rPr>
          <w:lang w:val="en-GB"/>
        </w:rPr>
      </w:pPr>
      <w:r w:rsidRPr="00190198">
        <w:rPr>
          <w:lang w:val="en-GB"/>
        </w:rPr>
        <w:tab/>
      </w:r>
    </w:p>
    <w:p w14:paraId="646DEFEA" w14:textId="77777777" w:rsidR="009B04BF" w:rsidRPr="00190198" w:rsidRDefault="009B04BF" w:rsidP="009B04BF">
      <w:pPr>
        <w:tabs>
          <w:tab w:val="left" w:leader="dot" w:pos="9356"/>
        </w:tabs>
        <w:rPr>
          <w:lang w:val="en-GB"/>
        </w:rPr>
      </w:pPr>
      <w:r w:rsidRPr="00190198">
        <w:rPr>
          <w:lang w:val="en-GB"/>
        </w:rPr>
        <w:tab/>
      </w:r>
    </w:p>
    <w:p w14:paraId="6899D406" w14:textId="77777777" w:rsidR="009B04BF" w:rsidRPr="00190198" w:rsidRDefault="009B04BF" w:rsidP="009B04BF">
      <w:pPr>
        <w:tabs>
          <w:tab w:val="left" w:leader="dot" w:pos="9356"/>
        </w:tabs>
        <w:rPr>
          <w:lang w:val="en-GB"/>
        </w:rPr>
      </w:pPr>
      <w:r w:rsidRPr="00190198">
        <w:rPr>
          <w:lang w:val="en-GB"/>
        </w:rPr>
        <w:tab/>
      </w:r>
    </w:p>
    <w:p w14:paraId="7067D939" w14:textId="77777777" w:rsidR="009B04BF" w:rsidRPr="00190198" w:rsidRDefault="009B04BF" w:rsidP="009B04BF">
      <w:pPr>
        <w:tabs>
          <w:tab w:val="left" w:leader="dot" w:pos="9356"/>
        </w:tabs>
        <w:rPr>
          <w:lang w:val="en-GB"/>
        </w:rPr>
      </w:pPr>
      <w:r w:rsidRPr="00190198">
        <w:rPr>
          <w:lang w:val="en-GB"/>
        </w:rPr>
        <w:tab/>
      </w:r>
    </w:p>
    <w:p w14:paraId="5B0540E3" w14:textId="77777777" w:rsidR="009B04BF" w:rsidRPr="00190198" w:rsidRDefault="009B04BF" w:rsidP="009B04BF">
      <w:pPr>
        <w:tabs>
          <w:tab w:val="left" w:leader="dot" w:pos="9356"/>
        </w:tabs>
        <w:rPr>
          <w:lang w:val="en-GB"/>
        </w:rPr>
      </w:pPr>
      <w:r w:rsidRPr="00190198">
        <w:rPr>
          <w:lang w:val="en-GB"/>
        </w:rPr>
        <w:tab/>
      </w:r>
    </w:p>
    <w:p w14:paraId="739734EE" w14:textId="77777777" w:rsidR="009B04BF" w:rsidRPr="00190198" w:rsidRDefault="009B04BF" w:rsidP="009B04BF">
      <w:pPr>
        <w:tabs>
          <w:tab w:val="left" w:leader="dot" w:pos="9356"/>
        </w:tabs>
        <w:rPr>
          <w:lang w:val="en-GB"/>
        </w:rPr>
      </w:pPr>
      <w:r w:rsidRPr="00190198">
        <w:rPr>
          <w:lang w:val="en-GB"/>
        </w:rPr>
        <w:tab/>
      </w:r>
    </w:p>
    <w:p w14:paraId="0AD680F4" w14:textId="77777777" w:rsidR="009B04BF" w:rsidRPr="00190198" w:rsidRDefault="009B04BF" w:rsidP="009B04BF">
      <w:pPr>
        <w:tabs>
          <w:tab w:val="left" w:leader="dot" w:pos="9356"/>
        </w:tabs>
        <w:rPr>
          <w:lang w:val="en-GB"/>
        </w:rPr>
      </w:pPr>
      <w:r w:rsidRPr="00190198">
        <w:rPr>
          <w:lang w:val="en-GB"/>
        </w:rPr>
        <w:tab/>
      </w:r>
    </w:p>
    <w:p w14:paraId="621DD918" w14:textId="77777777" w:rsidR="009B04BF" w:rsidRPr="00190198" w:rsidRDefault="009B04BF" w:rsidP="009B04BF">
      <w:pPr>
        <w:tabs>
          <w:tab w:val="left" w:leader="dot" w:pos="9356"/>
        </w:tabs>
        <w:rPr>
          <w:lang w:val="en-GB"/>
        </w:rPr>
      </w:pPr>
      <w:r w:rsidRPr="00190198">
        <w:rPr>
          <w:lang w:val="en-GB"/>
        </w:rPr>
        <w:tab/>
      </w:r>
    </w:p>
    <w:p w14:paraId="2E1E605C" w14:textId="77777777" w:rsidR="009B04BF" w:rsidRPr="00190198" w:rsidRDefault="009B04BF" w:rsidP="009B04BF">
      <w:pPr>
        <w:rPr>
          <w:lang w:val="en-GB"/>
        </w:rPr>
      </w:pPr>
      <w:r w:rsidRPr="00190198">
        <w:rPr>
          <w:lang w:val="en-GB"/>
        </w:rPr>
        <w:tab/>
      </w:r>
    </w:p>
    <w:p w14:paraId="5E637FD0" w14:textId="77777777" w:rsidR="009B04BF" w:rsidRPr="00190198" w:rsidRDefault="009B04BF" w:rsidP="009B04BF">
      <w:pPr>
        <w:spacing w:after="0"/>
        <w:jc w:val="left"/>
        <w:rPr>
          <w:lang w:val="en-GB"/>
        </w:rPr>
        <w:sectPr w:rsidR="009B04BF" w:rsidRPr="00190198">
          <w:headerReference w:type="default" r:id="rId14"/>
          <w:footerReference w:type="default" r:id="rId15"/>
          <w:pgSz w:w="11907" w:h="16840"/>
          <w:pgMar w:top="200" w:right="1134" w:bottom="680" w:left="1440" w:header="567" w:footer="720" w:gutter="0"/>
          <w:cols w:space="708"/>
        </w:sectPr>
      </w:pPr>
    </w:p>
    <w:p w14:paraId="2A2B38F6" w14:textId="77777777" w:rsidR="009B04BF" w:rsidRPr="00190198" w:rsidRDefault="009B04BF" w:rsidP="00D4024D">
      <w:pPr>
        <w:pStyle w:val="Nagwek1"/>
        <w:numPr>
          <w:ilvl w:val="0"/>
          <w:numId w:val="0"/>
        </w:numPr>
        <w:ind w:left="432" w:hanging="432"/>
        <w:rPr>
          <w:rFonts w:eastAsia="Malgun Gothic"/>
          <w:sz w:val="22"/>
          <w:szCs w:val="22"/>
        </w:rPr>
      </w:pPr>
      <w:bookmarkStart w:id="31" w:name="_Toc447201236"/>
      <w:bookmarkStart w:id="32" w:name="_Toc188960936"/>
      <w:r w:rsidRPr="00190198">
        <w:rPr>
          <w:rFonts w:eastAsia="Malgun Gothic"/>
          <w:sz w:val="22"/>
          <w:szCs w:val="22"/>
        </w:rPr>
        <w:lastRenderedPageBreak/>
        <w:t xml:space="preserve">Appendix </w:t>
      </w:r>
      <w:r w:rsidRPr="00190198">
        <w:rPr>
          <w:rFonts w:eastAsia="Malgun Gothic"/>
          <w:sz w:val="22"/>
          <w:szCs w:val="22"/>
          <w:lang w:eastAsia="ko-KR"/>
        </w:rPr>
        <w:t>C</w:t>
      </w:r>
      <w:r w:rsidRPr="00190198">
        <w:rPr>
          <w:rFonts w:eastAsia="Malgun Gothic"/>
          <w:sz w:val="22"/>
          <w:szCs w:val="22"/>
        </w:rPr>
        <w:t xml:space="preserve"> –– Description of the measurement instrument</w:t>
      </w:r>
      <w:bookmarkEnd w:id="31"/>
      <w:bookmarkEnd w:id="32"/>
    </w:p>
    <w:tbl>
      <w:tblPr>
        <w:tblW w:w="0" w:type="auto"/>
        <w:tblLook w:val="01E0" w:firstRow="1" w:lastRow="1" w:firstColumn="1" w:lastColumn="1" w:noHBand="0" w:noVBand="0"/>
      </w:tblPr>
      <w:tblGrid>
        <w:gridCol w:w="809"/>
        <w:gridCol w:w="8256"/>
      </w:tblGrid>
      <w:tr w:rsidR="009B04BF" w:rsidRPr="00190198" w14:paraId="3645C2AF" w14:textId="77777777" w:rsidTr="009B04BF">
        <w:tc>
          <w:tcPr>
            <w:tcW w:w="815" w:type="dxa"/>
            <w:tcBorders>
              <w:top w:val="nil"/>
              <w:left w:val="nil"/>
              <w:bottom w:val="nil"/>
              <w:right w:val="single" w:sz="4" w:space="0" w:color="auto"/>
            </w:tcBorders>
            <w:hideMark/>
          </w:tcPr>
          <w:p w14:paraId="57350C82" w14:textId="77777777" w:rsidR="009B04BF" w:rsidRPr="00190198" w:rsidRDefault="009B04BF">
            <w:pPr>
              <w:rPr>
                <w:lang w:val="en-GB" w:eastAsia="de-DE"/>
              </w:rPr>
            </w:pPr>
            <w:r w:rsidRPr="00190198">
              <w:rPr>
                <w:lang w:val="en-GB" w:eastAsia="de-DE"/>
              </w:rPr>
              <w:t>To:</w:t>
            </w:r>
          </w:p>
        </w:tc>
        <w:tc>
          <w:tcPr>
            <w:tcW w:w="8734" w:type="dxa"/>
            <w:tcBorders>
              <w:top w:val="single" w:sz="4" w:space="0" w:color="auto"/>
              <w:left w:val="single" w:sz="4" w:space="0" w:color="auto"/>
              <w:bottom w:val="single" w:sz="4" w:space="0" w:color="auto"/>
              <w:right w:val="single" w:sz="4" w:space="0" w:color="auto"/>
            </w:tcBorders>
            <w:hideMark/>
          </w:tcPr>
          <w:p w14:paraId="0CBB0C80" w14:textId="78F1A687" w:rsidR="003166A3" w:rsidRPr="00190198" w:rsidRDefault="003166A3" w:rsidP="003166A3">
            <w:pPr>
              <w:rPr>
                <w:lang w:val="en-GB" w:eastAsia="de-DE"/>
              </w:rPr>
            </w:pPr>
            <w:r w:rsidRPr="00190198">
              <w:rPr>
                <w:lang w:val="en-GB" w:eastAsia="ko-KR"/>
              </w:rPr>
              <w:t>Dariusz Czułek</w:t>
            </w:r>
          </w:p>
          <w:p w14:paraId="7EDB4FF4" w14:textId="77777777" w:rsidR="003166A3" w:rsidRPr="00190198" w:rsidRDefault="003166A3" w:rsidP="003166A3">
            <w:pPr>
              <w:rPr>
                <w:lang w:val="en-GB" w:eastAsia="de-DE"/>
              </w:rPr>
            </w:pPr>
            <w:r w:rsidRPr="00190198">
              <w:rPr>
                <w:lang w:val="en-GB" w:eastAsia="ko-KR"/>
              </w:rPr>
              <w:t>Central Office of Measures, Elektoralna 2, Warsaw, 00-139, Poland</w:t>
            </w:r>
          </w:p>
          <w:p w14:paraId="0C0BA857" w14:textId="3E975274" w:rsidR="009B04BF" w:rsidRPr="00B536C0" w:rsidRDefault="003166A3" w:rsidP="003166A3">
            <w:pPr>
              <w:rPr>
                <w:lang w:val="en-GB" w:eastAsia="de-DE"/>
              </w:rPr>
            </w:pPr>
            <w:r w:rsidRPr="00B536C0">
              <w:rPr>
                <w:lang w:val="en-GB" w:eastAsia="de-DE"/>
              </w:rPr>
              <w:t xml:space="preserve">Fax: </w:t>
            </w:r>
            <w:r w:rsidRPr="00B536C0">
              <w:rPr>
                <w:lang w:val="en-GB" w:eastAsia="de-DE"/>
              </w:rPr>
              <w:tab/>
            </w:r>
            <w:r w:rsidRPr="00B536C0">
              <w:rPr>
                <w:lang w:val="en-GB" w:eastAsia="ko-KR"/>
              </w:rPr>
              <w:t>+48 22 581 95 43</w:t>
            </w:r>
            <w:r w:rsidRPr="00B536C0">
              <w:rPr>
                <w:lang w:val="en-GB" w:eastAsia="ko-KR"/>
              </w:rPr>
              <w:tab/>
            </w:r>
            <w:r w:rsidRPr="00B536C0">
              <w:rPr>
                <w:lang w:val="en-GB" w:eastAsia="de-DE"/>
              </w:rPr>
              <w:tab/>
              <w:t xml:space="preserve">e-mail: </w:t>
            </w:r>
            <w:hyperlink r:id="rId16" w:history="1">
              <w:r w:rsidRPr="00B536C0">
                <w:rPr>
                  <w:rStyle w:val="Hipercze"/>
                  <w:lang w:val="en-GB" w:eastAsia="de-DE"/>
                </w:rPr>
                <w:t>length@gum.gov.pl</w:t>
              </w:r>
            </w:hyperlink>
          </w:p>
        </w:tc>
      </w:tr>
      <w:tr w:rsidR="009B04BF" w:rsidRPr="00190198" w14:paraId="152C7871" w14:textId="77777777" w:rsidTr="009B04BF">
        <w:tc>
          <w:tcPr>
            <w:tcW w:w="815" w:type="dxa"/>
            <w:tcBorders>
              <w:top w:val="nil"/>
              <w:left w:val="nil"/>
              <w:bottom w:val="nil"/>
              <w:right w:val="single" w:sz="4" w:space="0" w:color="auto"/>
            </w:tcBorders>
            <w:hideMark/>
          </w:tcPr>
          <w:p w14:paraId="2D4A8C71" w14:textId="77777777" w:rsidR="009B04BF" w:rsidRPr="00190198" w:rsidRDefault="009B04BF">
            <w:pPr>
              <w:spacing w:before="120" w:line="360" w:lineRule="auto"/>
              <w:rPr>
                <w:lang w:val="en-GB" w:eastAsia="de-DE"/>
              </w:rPr>
            </w:pPr>
            <w:r w:rsidRPr="00190198">
              <w:rPr>
                <w:lang w:val="en-GB" w:eastAsia="de-DE"/>
              </w:rPr>
              <w:t>From:</w:t>
            </w:r>
          </w:p>
        </w:tc>
        <w:tc>
          <w:tcPr>
            <w:tcW w:w="8734" w:type="dxa"/>
            <w:tcBorders>
              <w:top w:val="single" w:sz="4" w:space="0" w:color="auto"/>
              <w:left w:val="single" w:sz="4" w:space="0" w:color="auto"/>
              <w:bottom w:val="single" w:sz="4" w:space="0" w:color="auto"/>
              <w:right w:val="single" w:sz="4" w:space="0" w:color="auto"/>
            </w:tcBorders>
          </w:tcPr>
          <w:p w14:paraId="1FFA8EDD" w14:textId="77777777" w:rsidR="009B04BF" w:rsidRPr="00190198" w:rsidRDefault="009B04BF">
            <w:pPr>
              <w:spacing w:before="120" w:line="360" w:lineRule="auto"/>
              <w:rPr>
                <w:lang w:val="en-GB" w:eastAsia="de-DE"/>
              </w:rPr>
            </w:pPr>
            <w:r w:rsidRPr="00190198">
              <w:rPr>
                <w:lang w:val="en-GB" w:eastAsia="de-DE"/>
              </w:rPr>
              <w:t xml:space="preserve">NMI: </w:t>
            </w:r>
            <w:r w:rsidRPr="00190198">
              <w:rPr>
                <w:lang w:val="en-GB" w:eastAsia="de-DE"/>
              </w:rPr>
              <w:tab/>
            </w:r>
            <w:r w:rsidRPr="00190198">
              <w:rPr>
                <w:lang w:val="en-GB" w:eastAsia="de-DE"/>
              </w:rPr>
              <w:tab/>
              <w:t>………………………………</w:t>
            </w:r>
            <w:r w:rsidRPr="00190198">
              <w:rPr>
                <w:lang w:val="en-GB" w:eastAsia="de-DE"/>
              </w:rPr>
              <w:tab/>
            </w:r>
            <w:r w:rsidRPr="00190198">
              <w:rPr>
                <w:lang w:val="en-GB" w:eastAsia="de-DE"/>
              </w:rPr>
              <w:tab/>
              <w:t>Name:</w:t>
            </w:r>
            <w:r w:rsidRPr="00190198">
              <w:rPr>
                <w:lang w:val="en-GB" w:eastAsia="de-DE"/>
              </w:rPr>
              <w:tab/>
              <w:t>………………………………</w:t>
            </w:r>
          </w:p>
          <w:p w14:paraId="6A477685" w14:textId="77777777" w:rsidR="009B04BF" w:rsidRPr="00190198" w:rsidRDefault="009B04BF">
            <w:pPr>
              <w:spacing w:before="120" w:line="360" w:lineRule="auto"/>
              <w:rPr>
                <w:lang w:val="en-GB" w:eastAsia="de-DE"/>
              </w:rPr>
            </w:pPr>
          </w:p>
          <w:p w14:paraId="529ABC09" w14:textId="77777777" w:rsidR="009B04BF" w:rsidRPr="00190198" w:rsidRDefault="009B04BF">
            <w:pPr>
              <w:spacing w:before="120" w:line="360" w:lineRule="auto"/>
              <w:rPr>
                <w:lang w:val="en-GB" w:eastAsia="de-DE"/>
              </w:rPr>
            </w:pPr>
            <w:r w:rsidRPr="00190198">
              <w:rPr>
                <w:lang w:val="en-GB" w:eastAsia="de-DE"/>
              </w:rPr>
              <w:t>Signature:</w:t>
            </w:r>
            <w:r w:rsidRPr="00190198">
              <w:rPr>
                <w:lang w:val="en-GB" w:eastAsia="de-DE"/>
              </w:rPr>
              <w:tab/>
              <w:t>………………………………</w:t>
            </w:r>
            <w:r w:rsidRPr="00190198">
              <w:rPr>
                <w:lang w:val="en-GB" w:eastAsia="de-DE"/>
              </w:rPr>
              <w:tab/>
            </w:r>
            <w:r w:rsidRPr="00190198">
              <w:rPr>
                <w:lang w:val="en-GB" w:eastAsia="de-DE"/>
              </w:rPr>
              <w:tab/>
              <w:t>Date:</w:t>
            </w:r>
            <w:r w:rsidRPr="00190198">
              <w:rPr>
                <w:lang w:val="en-GB" w:eastAsia="de-DE"/>
              </w:rPr>
              <w:tab/>
              <w:t>………………………………</w:t>
            </w:r>
          </w:p>
        </w:tc>
      </w:tr>
    </w:tbl>
    <w:p w14:paraId="6615525A" w14:textId="77777777" w:rsidR="009B04BF" w:rsidRPr="00190198" w:rsidRDefault="009B04BF" w:rsidP="009B04BF">
      <w:pPr>
        <w:tabs>
          <w:tab w:val="right" w:pos="9356"/>
        </w:tabs>
        <w:spacing w:before="100" w:beforeAutospacing="1" w:after="100" w:afterAutospacing="1"/>
        <w:ind w:right="4"/>
        <w:rPr>
          <w:lang w:val="en-GB" w:eastAsia="ko-KR"/>
        </w:rPr>
      </w:pPr>
    </w:p>
    <w:p w14:paraId="5B053596" w14:textId="4CAC75CD" w:rsidR="009B04BF" w:rsidRPr="00190198" w:rsidRDefault="00F813EB" w:rsidP="009B04BF">
      <w:pPr>
        <w:pStyle w:val="Navaden"/>
        <w:spacing w:before="120"/>
        <w:jc w:val="both"/>
        <w:rPr>
          <w:rFonts w:ascii="Calibri" w:hAnsi="Calibri"/>
          <w:color w:val="000000"/>
          <w:sz w:val="22"/>
          <w:szCs w:val="22"/>
          <w:lang w:val="en-GB"/>
        </w:rPr>
      </w:pPr>
      <w:r w:rsidRPr="00190198">
        <w:rPr>
          <w:rFonts w:asciiTheme="minorHAnsi" w:hAnsiTheme="minorHAnsi" w:cstheme="minorHAnsi"/>
          <w:sz w:val="22"/>
          <w:szCs w:val="22"/>
          <w:lang w:val="en-GB"/>
        </w:rPr>
        <w:t>Description of measuring technique</w:t>
      </w:r>
      <w:r w:rsidR="00D4024D" w:rsidRPr="00190198">
        <w:rPr>
          <w:rFonts w:asciiTheme="minorHAnsi" w:hAnsiTheme="minorHAnsi" w:cstheme="minorHAnsi"/>
          <w:sz w:val="22"/>
          <w:szCs w:val="22"/>
          <w:lang w:val="en-GB"/>
        </w:rPr>
        <w:t xml:space="preserve"> (</w:t>
      </w:r>
      <w:r w:rsidR="009B04BF" w:rsidRPr="00190198">
        <w:rPr>
          <w:rFonts w:ascii="Calibri" w:hAnsi="Calibri"/>
          <w:color w:val="000000"/>
          <w:sz w:val="22"/>
          <w:szCs w:val="22"/>
          <w:lang w:val="en-GB"/>
        </w:rPr>
        <w:t xml:space="preserve">enclose photo(s) and/or sketch(es) of the instrument) </w:t>
      </w:r>
    </w:p>
    <w:p w14:paraId="71E5B519"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146178B8"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7A60EF66"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73CD23F9"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1FE9F47B"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6D54D13F"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69EC516D"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29FCA009"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5B944026"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616DEB90"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50F2D385"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p w14:paraId="0EA977DA" w14:textId="77777777" w:rsidR="009B04BF" w:rsidRPr="00190198" w:rsidRDefault="009B04BF" w:rsidP="009B04BF">
      <w:pPr>
        <w:pStyle w:val="Navaden"/>
        <w:spacing w:before="120"/>
        <w:jc w:val="both"/>
        <w:rPr>
          <w:rFonts w:ascii="Calibri" w:hAnsi="Calibri"/>
          <w:color w:val="000000"/>
          <w:sz w:val="23"/>
          <w:szCs w:val="23"/>
          <w:lang w:val="en-GB"/>
        </w:rPr>
      </w:pPr>
      <w:r w:rsidRPr="00190198">
        <w:rPr>
          <w:rFonts w:ascii="Calibri" w:hAnsi="Calibri"/>
          <w:color w:val="000000"/>
          <w:sz w:val="23"/>
          <w:szCs w:val="23"/>
          <w:lang w:val="en-GB"/>
        </w:rPr>
        <w:t xml:space="preserve">.................................................................................................................................................... </w:t>
      </w:r>
    </w:p>
    <w:sectPr w:rsidR="009B04BF" w:rsidRPr="00190198" w:rsidSect="00D4024D">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C112" w14:textId="77777777" w:rsidR="005624C1" w:rsidRDefault="005624C1" w:rsidP="003D5185">
      <w:pPr>
        <w:spacing w:after="0"/>
      </w:pPr>
      <w:r>
        <w:separator/>
      </w:r>
    </w:p>
  </w:endnote>
  <w:endnote w:type="continuationSeparator" w:id="0">
    <w:p w14:paraId="51ADE41F" w14:textId="77777777" w:rsidR="005624C1" w:rsidRDefault="005624C1" w:rsidP="003D5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421772"/>
      <w:docPartObj>
        <w:docPartGallery w:val="Page Numbers (Bottom of Page)"/>
        <w:docPartUnique/>
      </w:docPartObj>
    </w:sdtPr>
    <w:sdtContent>
      <w:sdt>
        <w:sdtPr>
          <w:id w:val="1819769178"/>
          <w:docPartObj>
            <w:docPartGallery w:val="Page Numbers (Top of Page)"/>
            <w:docPartUnique/>
          </w:docPartObj>
        </w:sdtPr>
        <w:sdtContent>
          <w:p w14:paraId="59DAEBBE" w14:textId="5AA74D64" w:rsidR="00E01788" w:rsidRDefault="00E01788" w:rsidP="00C91E49">
            <w:pPr>
              <w:pStyle w:val="Stopka"/>
              <w:jc w:val="right"/>
            </w:pPr>
            <w:r>
              <w:t>EURAMET.L-K</w:t>
            </w:r>
            <w:r w:rsidR="001620C0">
              <w:t>4</w:t>
            </w:r>
            <w:r>
              <w:t>.n0</w:t>
            </w:r>
            <w:r w:rsidR="00C51041">
              <w:t>2</w:t>
            </w:r>
            <w:r>
              <w:t xml:space="preserve"> Technical Protocol</w:t>
            </w:r>
            <w:r w:rsidR="005E1610">
              <w:t xml:space="preserve"> v1.1</w:t>
            </w:r>
            <w:r>
              <w:t>.docx</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7400CE7B" w14:textId="6135E2DF" w:rsidR="00E01788" w:rsidRDefault="00E017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D24D" w14:textId="77777777" w:rsidR="005624C1" w:rsidRDefault="005624C1" w:rsidP="003D5185">
      <w:pPr>
        <w:spacing w:after="0"/>
      </w:pPr>
      <w:r>
        <w:separator/>
      </w:r>
    </w:p>
  </w:footnote>
  <w:footnote w:type="continuationSeparator" w:id="0">
    <w:p w14:paraId="17D895FA" w14:textId="77777777" w:rsidR="005624C1" w:rsidRDefault="005624C1" w:rsidP="003D51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A922" w14:textId="47640DF1" w:rsidR="00E01788" w:rsidRDefault="00E01788" w:rsidP="00F956CF">
    <w:pPr>
      <w:pStyle w:val="Nagwek"/>
      <w:tabs>
        <w:tab w:val="right" w:pos="9360"/>
      </w:tabs>
      <w:rPr>
        <w:sz w:val="20"/>
        <w:lang w:eastAsia="ko-KR"/>
      </w:rPr>
    </w:pPr>
    <w:r>
      <w:rPr>
        <w:sz w:val="20"/>
        <w:lang w:eastAsia="ko-KR"/>
      </w:rPr>
      <w:t>EURAMET</w:t>
    </w:r>
  </w:p>
  <w:p w14:paraId="1A2C4177" w14:textId="5969B57B" w:rsidR="00E01788" w:rsidRDefault="00E01788" w:rsidP="00F956CF">
    <w:pPr>
      <w:pStyle w:val="Nagwek"/>
      <w:pBdr>
        <w:bottom w:val="single" w:sz="4" w:space="1" w:color="auto"/>
      </w:pBdr>
      <w:tabs>
        <w:tab w:val="right" w:pos="9360"/>
      </w:tabs>
      <w:rPr>
        <w:sz w:val="20"/>
      </w:rPr>
    </w:pPr>
    <w:r w:rsidRPr="00CF3882">
      <w:rPr>
        <w:sz w:val="20"/>
        <w:lang w:eastAsia="ko-KR"/>
      </w:rPr>
      <w:t xml:space="preserve">Calibration </w:t>
    </w:r>
    <w:r w:rsidR="0039012F">
      <w:rPr>
        <w:sz w:val="20"/>
        <w:lang w:eastAsia="ko-KR"/>
      </w:rPr>
      <w:t>Roundness standards</w:t>
    </w:r>
    <w:r w:rsidR="0039012F">
      <w:rPr>
        <w:sz w:val="20"/>
        <w:lang w:eastAsia="ko-KR"/>
      </w:rPr>
      <w:tab/>
    </w:r>
    <w:r>
      <w:rPr>
        <w:sz w:val="20"/>
      </w:rPr>
      <w:tab/>
      <w:t>Technical protocol</w:t>
    </w:r>
  </w:p>
  <w:p w14:paraId="243F2178" w14:textId="77777777" w:rsidR="00E01788" w:rsidRDefault="00E017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69DF" w14:textId="5041CBA8" w:rsidR="00E01788" w:rsidRDefault="00E01788" w:rsidP="003D518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6E6"/>
    <w:multiLevelType w:val="hybridMultilevel"/>
    <w:tmpl w:val="3A8432D8"/>
    <w:lvl w:ilvl="0" w:tplc="BA1EA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C9134C"/>
    <w:multiLevelType w:val="hybridMultilevel"/>
    <w:tmpl w:val="87E277FE"/>
    <w:lvl w:ilvl="0" w:tplc="8C8C41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7D2858"/>
    <w:multiLevelType w:val="hybridMultilevel"/>
    <w:tmpl w:val="F058E50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211"/>
        </w:tabs>
        <w:ind w:left="1211"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9581DCD"/>
    <w:multiLevelType w:val="hybridMultilevel"/>
    <w:tmpl w:val="8F60E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03552B"/>
    <w:multiLevelType w:val="multilevel"/>
    <w:tmpl w:val="E6588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232C7A"/>
    <w:multiLevelType w:val="multilevel"/>
    <w:tmpl w:val="5B58C7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20C02EB"/>
    <w:multiLevelType w:val="multilevel"/>
    <w:tmpl w:val="042EB7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3B832A1"/>
    <w:multiLevelType w:val="multilevel"/>
    <w:tmpl w:val="DD42E678"/>
    <w:lvl w:ilvl="0">
      <w:start w:val="1"/>
      <w:numFmt w:val="decimal"/>
      <w:pStyle w:val="Nagwek1"/>
      <w:lvlText w:val="%1"/>
      <w:lvlJc w:val="left"/>
      <w:pPr>
        <w:tabs>
          <w:tab w:val="num" w:pos="432"/>
        </w:tabs>
        <w:ind w:left="432" w:hanging="432"/>
      </w:pPr>
      <w:rPr>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8" w15:restartNumberingAfterBreak="0">
    <w:nsid w:val="7E0D038E"/>
    <w:multiLevelType w:val="hybridMultilevel"/>
    <w:tmpl w:val="25045E44"/>
    <w:lvl w:ilvl="0" w:tplc="0415000D">
      <w:start w:val="1"/>
      <w:numFmt w:val="bullet"/>
      <w:lvlText w:val=""/>
      <w:lvlJc w:val="left"/>
      <w:pPr>
        <w:ind w:left="720" w:hanging="360"/>
      </w:pPr>
      <w:rPr>
        <w:rFonts w:ascii="Wingdings" w:hAnsi="Wingdings" w:hint="default"/>
      </w:rPr>
    </w:lvl>
    <w:lvl w:ilvl="1" w:tplc="BFE65D9E">
      <w:numFmt w:val="bullet"/>
      <w:lvlText w:val="•"/>
      <w:lvlJc w:val="left"/>
      <w:pPr>
        <w:ind w:left="1440" w:hanging="360"/>
      </w:pPr>
      <w:rPr>
        <w:rFonts w:ascii="Calibri" w:eastAsia="Malgun Gothic"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980983">
    <w:abstractNumId w:val="6"/>
  </w:num>
  <w:num w:numId="2" w16cid:durableId="551429700">
    <w:abstractNumId w:val="8"/>
  </w:num>
  <w:num w:numId="3" w16cid:durableId="256906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070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001947">
    <w:abstractNumId w:val="5"/>
  </w:num>
  <w:num w:numId="6" w16cid:durableId="626205549">
    <w:abstractNumId w:val="4"/>
  </w:num>
  <w:num w:numId="7" w16cid:durableId="264846221">
    <w:abstractNumId w:val="0"/>
  </w:num>
  <w:num w:numId="8" w16cid:durableId="1526596637">
    <w:abstractNumId w:val="1"/>
  </w:num>
  <w:num w:numId="9" w16cid:durableId="27020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5"/>
    <w:rsid w:val="0002535C"/>
    <w:rsid w:val="00096975"/>
    <w:rsid w:val="000A2732"/>
    <w:rsid w:val="000B11FF"/>
    <w:rsid w:val="000D3FA0"/>
    <w:rsid w:val="000D5BE7"/>
    <w:rsid w:val="000E45A7"/>
    <w:rsid w:val="000E6495"/>
    <w:rsid w:val="00103EFC"/>
    <w:rsid w:val="001214CA"/>
    <w:rsid w:val="00135707"/>
    <w:rsid w:val="00135F8B"/>
    <w:rsid w:val="0015132E"/>
    <w:rsid w:val="001620C0"/>
    <w:rsid w:val="00163344"/>
    <w:rsid w:val="00190198"/>
    <w:rsid w:val="001B307B"/>
    <w:rsid w:val="001B777E"/>
    <w:rsid w:val="001D57E0"/>
    <w:rsid w:val="001E3A69"/>
    <w:rsid w:val="001E501E"/>
    <w:rsid w:val="001E7B90"/>
    <w:rsid w:val="001F21AB"/>
    <w:rsid w:val="001F5626"/>
    <w:rsid w:val="0020460F"/>
    <w:rsid w:val="00206770"/>
    <w:rsid w:val="00222004"/>
    <w:rsid w:val="002433A5"/>
    <w:rsid w:val="00283805"/>
    <w:rsid w:val="00285E95"/>
    <w:rsid w:val="00291D15"/>
    <w:rsid w:val="00292FD1"/>
    <w:rsid w:val="002A031F"/>
    <w:rsid w:val="002A1F7D"/>
    <w:rsid w:val="002B1483"/>
    <w:rsid w:val="002C0D62"/>
    <w:rsid w:val="002C108B"/>
    <w:rsid w:val="002E1DF1"/>
    <w:rsid w:val="002F49BF"/>
    <w:rsid w:val="0031578D"/>
    <w:rsid w:val="003166A3"/>
    <w:rsid w:val="00320906"/>
    <w:rsid w:val="003330E0"/>
    <w:rsid w:val="00347F2D"/>
    <w:rsid w:val="00356FBE"/>
    <w:rsid w:val="00360BFB"/>
    <w:rsid w:val="003720CF"/>
    <w:rsid w:val="00372DC9"/>
    <w:rsid w:val="0038270C"/>
    <w:rsid w:val="0039012F"/>
    <w:rsid w:val="003949A3"/>
    <w:rsid w:val="003A7359"/>
    <w:rsid w:val="003B6BB3"/>
    <w:rsid w:val="003C07A8"/>
    <w:rsid w:val="003C3D64"/>
    <w:rsid w:val="003D5185"/>
    <w:rsid w:val="003F092B"/>
    <w:rsid w:val="0041036F"/>
    <w:rsid w:val="00411B36"/>
    <w:rsid w:val="00413CCB"/>
    <w:rsid w:val="0042100E"/>
    <w:rsid w:val="004335A4"/>
    <w:rsid w:val="004338F0"/>
    <w:rsid w:val="00452F72"/>
    <w:rsid w:val="004540DA"/>
    <w:rsid w:val="004730A4"/>
    <w:rsid w:val="00480D56"/>
    <w:rsid w:val="00494A05"/>
    <w:rsid w:val="00495B69"/>
    <w:rsid w:val="004B40FC"/>
    <w:rsid w:val="004E15E3"/>
    <w:rsid w:val="004F057A"/>
    <w:rsid w:val="0050206A"/>
    <w:rsid w:val="00505994"/>
    <w:rsid w:val="00512913"/>
    <w:rsid w:val="0051407B"/>
    <w:rsid w:val="005300EF"/>
    <w:rsid w:val="00540C39"/>
    <w:rsid w:val="005624C1"/>
    <w:rsid w:val="00562C46"/>
    <w:rsid w:val="00566E92"/>
    <w:rsid w:val="005723B1"/>
    <w:rsid w:val="00580552"/>
    <w:rsid w:val="00591680"/>
    <w:rsid w:val="005A116F"/>
    <w:rsid w:val="005B25C5"/>
    <w:rsid w:val="005E0D13"/>
    <w:rsid w:val="005E1610"/>
    <w:rsid w:val="005E6034"/>
    <w:rsid w:val="005F0C0C"/>
    <w:rsid w:val="005F5D54"/>
    <w:rsid w:val="00616F50"/>
    <w:rsid w:val="006306FF"/>
    <w:rsid w:val="00632E2B"/>
    <w:rsid w:val="00650EB6"/>
    <w:rsid w:val="006615B1"/>
    <w:rsid w:val="0066197B"/>
    <w:rsid w:val="00665F79"/>
    <w:rsid w:val="00675482"/>
    <w:rsid w:val="006809C0"/>
    <w:rsid w:val="00680E83"/>
    <w:rsid w:val="0068132E"/>
    <w:rsid w:val="006855C4"/>
    <w:rsid w:val="0068605C"/>
    <w:rsid w:val="0069549B"/>
    <w:rsid w:val="006A76B0"/>
    <w:rsid w:val="006A7B88"/>
    <w:rsid w:val="006B7612"/>
    <w:rsid w:val="006E68DF"/>
    <w:rsid w:val="006E6CBF"/>
    <w:rsid w:val="00707368"/>
    <w:rsid w:val="00716A39"/>
    <w:rsid w:val="007217D8"/>
    <w:rsid w:val="007232F0"/>
    <w:rsid w:val="007376B4"/>
    <w:rsid w:val="00750505"/>
    <w:rsid w:val="00782C85"/>
    <w:rsid w:val="00784B32"/>
    <w:rsid w:val="00786D8C"/>
    <w:rsid w:val="007947EC"/>
    <w:rsid w:val="007A1EAF"/>
    <w:rsid w:val="007B1B41"/>
    <w:rsid w:val="007B35DB"/>
    <w:rsid w:val="007C0210"/>
    <w:rsid w:val="007D0DED"/>
    <w:rsid w:val="007D616F"/>
    <w:rsid w:val="007E2942"/>
    <w:rsid w:val="007E2ED5"/>
    <w:rsid w:val="007E3B7C"/>
    <w:rsid w:val="007E52EC"/>
    <w:rsid w:val="007F44BF"/>
    <w:rsid w:val="0080640B"/>
    <w:rsid w:val="00821500"/>
    <w:rsid w:val="00837AEF"/>
    <w:rsid w:val="008457AB"/>
    <w:rsid w:val="0085191B"/>
    <w:rsid w:val="00867717"/>
    <w:rsid w:val="008711D8"/>
    <w:rsid w:val="00873E19"/>
    <w:rsid w:val="00884860"/>
    <w:rsid w:val="008A2260"/>
    <w:rsid w:val="008D1E51"/>
    <w:rsid w:val="008D36D4"/>
    <w:rsid w:val="008D57BE"/>
    <w:rsid w:val="008F4DB3"/>
    <w:rsid w:val="00900F7D"/>
    <w:rsid w:val="00907EB8"/>
    <w:rsid w:val="00942E8B"/>
    <w:rsid w:val="00962E33"/>
    <w:rsid w:val="00987C06"/>
    <w:rsid w:val="009B04BF"/>
    <w:rsid w:val="009B221E"/>
    <w:rsid w:val="009B4A0E"/>
    <w:rsid w:val="009C2BFD"/>
    <w:rsid w:val="009C36C2"/>
    <w:rsid w:val="009E197C"/>
    <w:rsid w:val="009F259C"/>
    <w:rsid w:val="00A006C8"/>
    <w:rsid w:val="00A123E9"/>
    <w:rsid w:val="00A125F6"/>
    <w:rsid w:val="00A25F83"/>
    <w:rsid w:val="00A369D0"/>
    <w:rsid w:val="00A370A6"/>
    <w:rsid w:val="00A4039A"/>
    <w:rsid w:val="00A40CEE"/>
    <w:rsid w:val="00A45483"/>
    <w:rsid w:val="00A74E58"/>
    <w:rsid w:val="00A93985"/>
    <w:rsid w:val="00AC5958"/>
    <w:rsid w:val="00AD3468"/>
    <w:rsid w:val="00AD4C8B"/>
    <w:rsid w:val="00AD5C62"/>
    <w:rsid w:val="00AE3FBD"/>
    <w:rsid w:val="00B04B55"/>
    <w:rsid w:val="00B33227"/>
    <w:rsid w:val="00B45549"/>
    <w:rsid w:val="00B52904"/>
    <w:rsid w:val="00B536C0"/>
    <w:rsid w:val="00B554EE"/>
    <w:rsid w:val="00B75D40"/>
    <w:rsid w:val="00B83926"/>
    <w:rsid w:val="00B90EA0"/>
    <w:rsid w:val="00B913AE"/>
    <w:rsid w:val="00BA32D5"/>
    <w:rsid w:val="00BD13AE"/>
    <w:rsid w:val="00BD4E74"/>
    <w:rsid w:val="00BF6024"/>
    <w:rsid w:val="00C02BA6"/>
    <w:rsid w:val="00C07EF0"/>
    <w:rsid w:val="00C134AD"/>
    <w:rsid w:val="00C14C30"/>
    <w:rsid w:val="00C27D39"/>
    <w:rsid w:val="00C324A1"/>
    <w:rsid w:val="00C37C2F"/>
    <w:rsid w:val="00C51041"/>
    <w:rsid w:val="00C605BB"/>
    <w:rsid w:val="00C631DE"/>
    <w:rsid w:val="00C84D2F"/>
    <w:rsid w:val="00C8571C"/>
    <w:rsid w:val="00C878B4"/>
    <w:rsid w:val="00C91E49"/>
    <w:rsid w:val="00CA7B17"/>
    <w:rsid w:val="00CC040F"/>
    <w:rsid w:val="00CE6731"/>
    <w:rsid w:val="00CF3882"/>
    <w:rsid w:val="00CF3EB2"/>
    <w:rsid w:val="00D126B0"/>
    <w:rsid w:val="00D16639"/>
    <w:rsid w:val="00D21817"/>
    <w:rsid w:val="00D21C95"/>
    <w:rsid w:val="00D318EF"/>
    <w:rsid w:val="00D34915"/>
    <w:rsid w:val="00D4024D"/>
    <w:rsid w:val="00D4291E"/>
    <w:rsid w:val="00D43623"/>
    <w:rsid w:val="00D47925"/>
    <w:rsid w:val="00D543CA"/>
    <w:rsid w:val="00D81032"/>
    <w:rsid w:val="00D90870"/>
    <w:rsid w:val="00D93077"/>
    <w:rsid w:val="00DC498B"/>
    <w:rsid w:val="00DF24D1"/>
    <w:rsid w:val="00E01431"/>
    <w:rsid w:val="00E01788"/>
    <w:rsid w:val="00E01ACB"/>
    <w:rsid w:val="00E05AF4"/>
    <w:rsid w:val="00E12AD1"/>
    <w:rsid w:val="00E20D8B"/>
    <w:rsid w:val="00E25769"/>
    <w:rsid w:val="00E365B2"/>
    <w:rsid w:val="00E40056"/>
    <w:rsid w:val="00E5153C"/>
    <w:rsid w:val="00E52D0F"/>
    <w:rsid w:val="00E7451F"/>
    <w:rsid w:val="00E86084"/>
    <w:rsid w:val="00E86804"/>
    <w:rsid w:val="00EA716E"/>
    <w:rsid w:val="00EB1C52"/>
    <w:rsid w:val="00EB2F8D"/>
    <w:rsid w:val="00EC090F"/>
    <w:rsid w:val="00EC323B"/>
    <w:rsid w:val="00ED5D22"/>
    <w:rsid w:val="00EE0F8F"/>
    <w:rsid w:val="00F007AC"/>
    <w:rsid w:val="00F04069"/>
    <w:rsid w:val="00F12CF0"/>
    <w:rsid w:val="00F55ED1"/>
    <w:rsid w:val="00F630CE"/>
    <w:rsid w:val="00F67D57"/>
    <w:rsid w:val="00F8136D"/>
    <w:rsid w:val="00F813EB"/>
    <w:rsid w:val="00F82EBE"/>
    <w:rsid w:val="00F83594"/>
    <w:rsid w:val="00F84FD0"/>
    <w:rsid w:val="00F956CF"/>
    <w:rsid w:val="00FB03E4"/>
    <w:rsid w:val="00FC0697"/>
    <w:rsid w:val="00FC4A6B"/>
    <w:rsid w:val="00FD613F"/>
    <w:rsid w:val="00FE279B"/>
    <w:rsid w:val="00FE34DF"/>
    <w:rsid w:val="00FE4D4E"/>
    <w:rsid w:val="00FF70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C026"/>
  <w15:chartTrackingRefBased/>
  <w15:docId w15:val="{9FB4FE4F-1FC3-49AA-BB1C-78F8A030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185"/>
    <w:pPr>
      <w:spacing w:after="200" w:line="240" w:lineRule="auto"/>
      <w:jc w:val="both"/>
    </w:pPr>
    <w:rPr>
      <w:rFonts w:ascii="Calibri" w:eastAsia="Malgun Gothic" w:hAnsi="Calibri" w:cs="Arial"/>
      <w:szCs w:val="20"/>
      <w:lang w:val="en-US"/>
    </w:rPr>
  </w:style>
  <w:style w:type="paragraph" w:styleId="Nagwek1">
    <w:name w:val="heading 1"/>
    <w:basedOn w:val="Normalny"/>
    <w:next w:val="Normalny"/>
    <w:link w:val="Nagwek1Znak"/>
    <w:qFormat/>
    <w:rsid w:val="009B04BF"/>
    <w:pPr>
      <w:keepNext/>
      <w:numPr>
        <w:numId w:val="3"/>
      </w:numPr>
      <w:spacing w:before="240" w:after="120"/>
      <w:outlineLvl w:val="0"/>
    </w:pPr>
    <w:rPr>
      <w:rFonts w:eastAsia="Times New Roman"/>
      <w:b/>
      <w:bCs/>
      <w:kern w:val="28"/>
      <w:sz w:val="28"/>
      <w:szCs w:val="28"/>
      <w:lang w:val="en-GB"/>
    </w:rPr>
  </w:style>
  <w:style w:type="paragraph" w:styleId="Nagwek2">
    <w:name w:val="heading 2"/>
    <w:basedOn w:val="Normalny"/>
    <w:next w:val="Normalny"/>
    <w:link w:val="Nagwek2Znak"/>
    <w:semiHidden/>
    <w:unhideWhenUsed/>
    <w:qFormat/>
    <w:rsid w:val="009B04BF"/>
    <w:pPr>
      <w:keepNext/>
      <w:numPr>
        <w:ilvl w:val="1"/>
        <w:numId w:val="3"/>
      </w:numPr>
      <w:tabs>
        <w:tab w:val="left" w:pos="720"/>
        <w:tab w:val="left" w:pos="1440"/>
        <w:tab w:val="left" w:pos="2160"/>
      </w:tabs>
      <w:spacing w:before="200" w:after="120"/>
      <w:outlineLvl w:val="1"/>
    </w:pPr>
    <w:rPr>
      <w:rFonts w:eastAsia="Times New Roman"/>
      <w:b/>
      <w:bCs/>
      <w:sz w:val="24"/>
      <w:szCs w:val="24"/>
      <w:lang w:val="en-GB"/>
    </w:rPr>
  </w:style>
  <w:style w:type="paragraph" w:styleId="Nagwek3">
    <w:name w:val="heading 3"/>
    <w:basedOn w:val="Normalny"/>
    <w:next w:val="Normalny"/>
    <w:link w:val="Nagwek3Znak"/>
    <w:semiHidden/>
    <w:unhideWhenUsed/>
    <w:qFormat/>
    <w:rsid w:val="009B04BF"/>
    <w:pPr>
      <w:keepNext/>
      <w:widowControl w:val="0"/>
      <w:numPr>
        <w:ilvl w:val="2"/>
        <w:numId w:val="3"/>
      </w:numPr>
      <w:autoSpaceDE w:val="0"/>
      <w:autoSpaceDN w:val="0"/>
      <w:adjustRightInd w:val="0"/>
      <w:spacing w:before="240" w:after="120"/>
      <w:outlineLvl w:val="2"/>
    </w:pPr>
    <w:rPr>
      <w:rFonts w:eastAsia="Times New Roman"/>
      <w:b/>
      <w:bCs/>
      <w:u w:val="single"/>
      <w:lang w:val="en-AU"/>
    </w:rPr>
  </w:style>
  <w:style w:type="paragraph" w:styleId="Nagwek4">
    <w:name w:val="heading 4"/>
    <w:basedOn w:val="Normalny"/>
    <w:next w:val="Normalny"/>
    <w:link w:val="Nagwek4Znak"/>
    <w:semiHidden/>
    <w:unhideWhenUsed/>
    <w:qFormat/>
    <w:rsid w:val="009B04BF"/>
    <w:pPr>
      <w:keepNext/>
      <w:widowControl w:val="0"/>
      <w:numPr>
        <w:ilvl w:val="3"/>
        <w:numId w:val="3"/>
      </w:numPr>
      <w:autoSpaceDE w:val="0"/>
      <w:autoSpaceDN w:val="0"/>
      <w:adjustRightInd w:val="0"/>
      <w:outlineLvl w:val="3"/>
    </w:pPr>
    <w:rPr>
      <w:rFonts w:eastAsia="Times New Roman"/>
      <w:u w:val="single"/>
      <w:lang w:val="en-GB"/>
    </w:rPr>
  </w:style>
  <w:style w:type="paragraph" w:styleId="Nagwek5">
    <w:name w:val="heading 5"/>
    <w:basedOn w:val="Normalny"/>
    <w:next w:val="Normalny"/>
    <w:link w:val="Nagwek5Znak"/>
    <w:semiHidden/>
    <w:unhideWhenUsed/>
    <w:qFormat/>
    <w:rsid w:val="009B04BF"/>
    <w:pPr>
      <w:keepNext/>
      <w:widowControl w:val="0"/>
      <w:numPr>
        <w:ilvl w:val="4"/>
        <w:numId w:val="3"/>
      </w:numPr>
      <w:autoSpaceDE w:val="0"/>
      <w:autoSpaceDN w:val="0"/>
      <w:adjustRightInd w:val="0"/>
      <w:outlineLvl w:val="4"/>
    </w:pPr>
    <w:rPr>
      <w:rFonts w:eastAsia="Times New Roman"/>
      <w:u w:val="single"/>
      <w:lang w:val="en-GB"/>
    </w:rPr>
  </w:style>
  <w:style w:type="paragraph" w:styleId="Nagwek6">
    <w:name w:val="heading 6"/>
    <w:basedOn w:val="Normalny"/>
    <w:next w:val="Normalny"/>
    <w:link w:val="Nagwek6Znak"/>
    <w:semiHidden/>
    <w:unhideWhenUsed/>
    <w:qFormat/>
    <w:rsid w:val="009B04BF"/>
    <w:pPr>
      <w:keepNext/>
      <w:numPr>
        <w:ilvl w:val="5"/>
        <w:numId w:val="3"/>
      </w:numPr>
      <w:jc w:val="center"/>
      <w:outlineLvl w:val="5"/>
    </w:pPr>
    <w:rPr>
      <w:rFonts w:ascii="Arial Black" w:eastAsia="Times New Roman" w:hAnsi="Arial Black"/>
      <w:sz w:val="36"/>
      <w:szCs w:val="36"/>
      <w:lang w:val="en-GB"/>
    </w:rPr>
  </w:style>
  <w:style w:type="paragraph" w:styleId="Nagwek7">
    <w:name w:val="heading 7"/>
    <w:basedOn w:val="Normalny"/>
    <w:next w:val="Normalny"/>
    <w:link w:val="Nagwek7Znak"/>
    <w:semiHidden/>
    <w:unhideWhenUsed/>
    <w:qFormat/>
    <w:rsid w:val="009B04BF"/>
    <w:pPr>
      <w:keepNext/>
      <w:numPr>
        <w:ilvl w:val="6"/>
        <w:numId w:val="3"/>
      </w:numPr>
      <w:tabs>
        <w:tab w:val="right" w:pos="284"/>
        <w:tab w:val="right" w:leader="dot" w:pos="2552"/>
        <w:tab w:val="left" w:pos="2835"/>
        <w:tab w:val="left" w:leader="dot" w:pos="3969"/>
        <w:tab w:val="right" w:leader="dot" w:pos="9639"/>
      </w:tabs>
      <w:spacing w:line="240" w:lineRule="exact"/>
      <w:ind w:right="-1264"/>
      <w:outlineLvl w:val="6"/>
    </w:pPr>
    <w:rPr>
      <w:noProof/>
      <w:sz w:val="24"/>
      <w:szCs w:val="24"/>
    </w:rPr>
  </w:style>
  <w:style w:type="paragraph" w:styleId="Nagwek8">
    <w:name w:val="heading 8"/>
    <w:basedOn w:val="Normalny"/>
    <w:next w:val="Normalny"/>
    <w:link w:val="Nagwek8Znak"/>
    <w:semiHidden/>
    <w:unhideWhenUsed/>
    <w:qFormat/>
    <w:rsid w:val="009B04BF"/>
    <w:pPr>
      <w:keepNext/>
      <w:widowControl w:val="0"/>
      <w:numPr>
        <w:ilvl w:val="7"/>
        <w:numId w:val="3"/>
      </w:numPr>
      <w:autoSpaceDE w:val="0"/>
      <w:autoSpaceDN w:val="0"/>
      <w:adjustRightInd w:val="0"/>
      <w:outlineLvl w:val="7"/>
    </w:pPr>
    <w:rPr>
      <w:i/>
      <w:iCs/>
    </w:rPr>
  </w:style>
  <w:style w:type="paragraph" w:styleId="Nagwek9">
    <w:name w:val="heading 9"/>
    <w:basedOn w:val="Normalny"/>
    <w:next w:val="Normalny"/>
    <w:link w:val="Nagwek9Znak"/>
    <w:semiHidden/>
    <w:unhideWhenUsed/>
    <w:qFormat/>
    <w:rsid w:val="009B04BF"/>
    <w:pPr>
      <w:keepNext/>
      <w:numPr>
        <w:ilvl w:val="8"/>
        <w:numId w:val="3"/>
      </w:numPr>
      <w:jc w:val="center"/>
      <w:outlineLvl w:val="8"/>
    </w:pPr>
    <w:rPr>
      <w:b/>
      <w:bCs/>
      <w:sz w:val="28"/>
      <w:szCs w:val="28"/>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5185"/>
    <w:pPr>
      <w:tabs>
        <w:tab w:val="center" w:pos="4536"/>
        <w:tab w:val="right" w:pos="9072"/>
      </w:tabs>
      <w:spacing w:after="0"/>
    </w:pPr>
  </w:style>
  <w:style w:type="character" w:customStyle="1" w:styleId="NagwekZnak">
    <w:name w:val="Nagłówek Znak"/>
    <w:basedOn w:val="Domylnaczcionkaakapitu"/>
    <w:link w:val="Nagwek"/>
    <w:uiPriority w:val="99"/>
    <w:rsid w:val="003D5185"/>
  </w:style>
  <w:style w:type="paragraph" w:styleId="Stopka">
    <w:name w:val="footer"/>
    <w:basedOn w:val="Normalny"/>
    <w:link w:val="StopkaZnak"/>
    <w:unhideWhenUsed/>
    <w:rsid w:val="003D5185"/>
    <w:pPr>
      <w:tabs>
        <w:tab w:val="center" w:pos="4536"/>
        <w:tab w:val="right" w:pos="9072"/>
      </w:tabs>
      <w:spacing w:after="0"/>
    </w:pPr>
  </w:style>
  <w:style w:type="character" w:customStyle="1" w:styleId="StopkaZnak">
    <w:name w:val="Stopka Znak"/>
    <w:basedOn w:val="Domylnaczcionkaakapitu"/>
    <w:link w:val="Stopka"/>
    <w:uiPriority w:val="99"/>
    <w:rsid w:val="003D5185"/>
  </w:style>
  <w:style w:type="character" w:styleId="Odwoaniedokomentarza">
    <w:name w:val="annotation reference"/>
    <w:basedOn w:val="Domylnaczcionkaakapitu"/>
    <w:uiPriority w:val="99"/>
    <w:semiHidden/>
    <w:unhideWhenUsed/>
    <w:rsid w:val="003D5185"/>
    <w:rPr>
      <w:sz w:val="16"/>
      <w:szCs w:val="16"/>
    </w:rPr>
  </w:style>
  <w:style w:type="paragraph" w:styleId="Tekstkomentarza">
    <w:name w:val="annotation text"/>
    <w:basedOn w:val="Normalny"/>
    <w:link w:val="TekstkomentarzaZnak"/>
    <w:unhideWhenUsed/>
    <w:rsid w:val="003D5185"/>
    <w:rPr>
      <w:sz w:val="20"/>
    </w:rPr>
  </w:style>
  <w:style w:type="character" w:customStyle="1" w:styleId="TekstkomentarzaZnak">
    <w:name w:val="Tekst komentarza Znak"/>
    <w:basedOn w:val="Domylnaczcionkaakapitu"/>
    <w:link w:val="Tekstkomentarza"/>
    <w:uiPriority w:val="99"/>
    <w:rsid w:val="003D5185"/>
    <w:rPr>
      <w:rFonts w:ascii="Calibri" w:eastAsia="Malgun Gothic" w:hAnsi="Calibri"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3D5185"/>
    <w:rPr>
      <w:b/>
      <w:bCs/>
    </w:rPr>
  </w:style>
  <w:style w:type="character" w:customStyle="1" w:styleId="TematkomentarzaZnak">
    <w:name w:val="Temat komentarza Znak"/>
    <w:basedOn w:val="TekstkomentarzaZnak"/>
    <w:link w:val="Tematkomentarza"/>
    <w:uiPriority w:val="99"/>
    <w:semiHidden/>
    <w:rsid w:val="003D5185"/>
    <w:rPr>
      <w:rFonts w:ascii="Calibri" w:eastAsia="Malgun Gothic" w:hAnsi="Calibri" w:cs="Arial"/>
      <w:b/>
      <w:bCs/>
      <w:sz w:val="20"/>
      <w:szCs w:val="20"/>
      <w:lang w:val="en-US"/>
    </w:rPr>
  </w:style>
  <w:style w:type="paragraph" w:styleId="Akapitzlist">
    <w:name w:val="List Paragraph"/>
    <w:basedOn w:val="Normalny"/>
    <w:uiPriority w:val="34"/>
    <w:qFormat/>
    <w:rsid w:val="00206770"/>
    <w:pPr>
      <w:ind w:left="720"/>
      <w:contextualSpacing/>
    </w:pPr>
  </w:style>
  <w:style w:type="paragraph" w:styleId="Legenda">
    <w:name w:val="caption"/>
    <w:basedOn w:val="Normalny"/>
    <w:next w:val="Normalny"/>
    <w:qFormat/>
    <w:rsid w:val="003C07A8"/>
    <w:pPr>
      <w:spacing w:before="120" w:after="120"/>
    </w:pPr>
    <w:rPr>
      <w:rFonts w:eastAsia="Times New Roman"/>
      <w:b/>
      <w:bCs/>
      <w:sz w:val="20"/>
    </w:rPr>
  </w:style>
  <w:style w:type="table" w:styleId="Tabela-Siatka">
    <w:name w:val="Table Grid"/>
    <w:basedOn w:val="Standardowy"/>
    <w:rsid w:val="00121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F4DB3"/>
    <w:rPr>
      <w:color w:val="0563C1" w:themeColor="hyperlink"/>
      <w:u w:val="single"/>
    </w:rPr>
  </w:style>
  <w:style w:type="character" w:styleId="Nierozpoznanawzmianka">
    <w:name w:val="Unresolved Mention"/>
    <w:basedOn w:val="Domylnaczcionkaakapitu"/>
    <w:uiPriority w:val="99"/>
    <w:semiHidden/>
    <w:unhideWhenUsed/>
    <w:rsid w:val="008F4DB3"/>
    <w:rPr>
      <w:color w:val="605E5C"/>
      <w:shd w:val="clear" w:color="auto" w:fill="E1DFDD"/>
    </w:rPr>
  </w:style>
  <w:style w:type="paragraph" w:styleId="Tekstdymka">
    <w:name w:val="Balloon Text"/>
    <w:basedOn w:val="Normalny"/>
    <w:link w:val="TekstdymkaZnak"/>
    <w:uiPriority w:val="99"/>
    <w:semiHidden/>
    <w:unhideWhenUsed/>
    <w:rsid w:val="009B4A0E"/>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4A0E"/>
    <w:rPr>
      <w:rFonts w:ascii="Segoe UI" w:eastAsia="Malgun Gothic" w:hAnsi="Segoe UI" w:cs="Segoe UI"/>
      <w:sz w:val="18"/>
      <w:szCs w:val="18"/>
      <w:lang w:val="en-US"/>
    </w:rPr>
  </w:style>
  <w:style w:type="paragraph" w:customStyle="1" w:styleId="Navaden">
    <w:name w:val="Navaden"/>
    <w:basedOn w:val="Normalny"/>
    <w:next w:val="Normalny"/>
    <w:uiPriority w:val="99"/>
    <w:rsid w:val="006E6CBF"/>
    <w:pPr>
      <w:widowControl w:val="0"/>
      <w:autoSpaceDE w:val="0"/>
      <w:autoSpaceDN w:val="0"/>
      <w:adjustRightInd w:val="0"/>
      <w:spacing w:after="0"/>
      <w:jc w:val="left"/>
    </w:pPr>
    <w:rPr>
      <w:rFonts w:ascii="Times New Roman" w:hAnsi="Times New Roman" w:cs="Times New Roman"/>
      <w:sz w:val="24"/>
      <w:szCs w:val="24"/>
      <w:lang w:eastAsia="ko-KR"/>
    </w:rPr>
  </w:style>
  <w:style w:type="character" w:customStyle="1" w:styleId="Nagwek1Znak">
    <w:name w:val="Nagłówek 1 Znak"/>
    <w:basedOn w:val="Domylnaczcionkaakapitu"/>
    <w:link w:val="Nagwek1"/>
    <w:rsid w:val="009B04BF"/>
    <w:rPr>
      <w:rFonts w:ascii="Calibri" w:eastAsia="Times New Roman" w:hAnsi="Calibri" w:cs="Arial"/>
      <w:b/>
      <w:bCs/>
      <w:kern w:val="28"/>
      <w:sz w:val="28"/>
      <w:szCs w:val="28"/>
      <w:lang w:val="en-GB"/>
    </w:rPr>
  </w:style>
  <w:style w:type="character" w:customStyle="1" w:styleId="Nagwek2Znak">
    <w:name w:val="Nagłówek 2 Znak"/>
    <w:basedOn w:val="Domylnaczcionkaakapitu"/>
    <w:link w:val="Nagwek2"/>
    <w:semiHidden/>
    <w:rsid w:val="009B04BF"/>
    <w:rPr>
      <w:rFonts w:ascii="Calibri" w:eastAsia="Times New Roman" w:hAnsi="Calibri" w:cs="Arial"/>
      <w:b/>
      <w:bCs/>
      <w:sz w:val="24"/>
      <w:szCs w:val="24"/>
      <w:lang w:val="en-GB"/>
    </w:rPr>
  </w:style>
  <w:style w:type="character" w:customStyle="1" w:styleId="Nagwek3Znak">
    <w:name w:val="Nagłówek 3 Znak"/>
    <w:basedOn w:val="Domylnaczcionkaakapitu"/>
    <w:link w:val="Nagwek3"/>
    <w:semiHidden/>
    <w:rsid w:val="009B04BF"/>
    <w:rPr>
      <w:rFonts w:ascii="Calibri" w:eastAsia="Times New Roman" w:hAnsi="Calibri" w:cs="Arial"/>
      <w:b/>
      <w:bCs/>
      <w:szCs w:val="20"/>
      <w:u w:val="single"/>
      <w:lang w:val="en-AU"/>
    </w:rPr>
  </w:style>
  <w:style w:type="character" w:customStyle="1" w:styleId="Nagwek4Znak">
    <w:name w:val="Nagłówek 4 Znak"/>
    <w:basedOn w:val="Domylnaczcionkaakapitu"/>
    <w:link w:val="Nagwek4"/>
    <w:semiHidden/>
    <w:rsid w:val="009B04BF"/>
    <w:rPr>
      <w:rFonts w:ascii="Calibri" w:eastAsia="Times New Roman" w:hAnsi="Calibri" w:cs="Arial"/>
      <w:szCs w:val="20"/>
      <w:u w:val="single"/>
      <w:lang w:val="en-GB"/>
    </w:rPr>
  </w:style>
  <w:style w:type="character" w:customStyle="1" w:styleId="Nagwek5Znak">
    <w:name w:val="Nagłówek 5 Znak"/>
    <w:basedOn w:val="Domylnaczcionkaakapitu"/>
    <w:link w:val="Nagwek5"/>
    <w:semiHidden/>
    <w:rsid w:val="009B04BF"/>
    <w:rPr>
      <w:rFonts w:ascii="Calibri" w:eastAsia="Times New Roman" w:hAnsi="Calibri" w:cs="Arial"/>
      <w:szCs w:val="20"/>
      <w:u w:val="single"/>
      <w:lang w:val="en-GB"/>
    </w:rPr>
  </w:style>
  <w:style w:type="character" w:customStyle="1" w:styleId="Nagwek6Znak">
    <w:name w:val="Nagłówek 6 Znak"/>
    <w:basedOn w:val="Domylnaczcionkaakapitu"/>
    <w:link w:val="Nagwek6"/>
    <w:semiHidden/>
    <w:rsid w:val="009B04BF"/>
    <w:rPr>
      <w:rFonts w:ascii="Arial Black" w:eastAsia="Times New Roman" w:hAnsi="Arial Black" w:cs="Arial"/>
      <w:sz w:val="36"/>
      <w:szCs w:val="36"/>
      <w:lang w:val="en-GB"/>
    </w:rPr>
  </w:style>
  <w:style w:type="character" w:customStyle="1" w:styleId="Nagwek7Znak">
    <w:name w:val="Nagłówek 7 Znak"/>
    <w:basedOn w:val="Domylnaczcionkaakapitu"/>
    <w:link w:val="Nagwek7"/>
    <w:semiHidden/>
    <w:rsid w:val="009B04BF"/>
    <w:rPr>
      <w:rFonts w:ascii="Calibri" w:eastAsia="Malgun Gothic" w:hAnsi="Calibri" w:cs="Arial"/>
      <w:noProof/>
      <w:sz w:val="24"/>
      <w:szCs w:val="24"/>
      <w:lang w:val="en-US"/>
    </w:rPr>
  </w:style>
  <w:style w:type="character" w:customStyle="1" w:styleId="Nagwek8Znak">
    <w:name w:val="Nagłówek 8 Znak"/>
    <w:basedOn w:val="Domylnaczcionkaakapitu"/>
    <w:link w:val="Nagwek8"/>
    <w:semiHidden/>
    <w:rsid w:val="009B04BF"/>
    <w:rPr>
      <w:rFonts w:ascii="Calibri" w:eastAsia="Malgun Gothic" w:hAnsi="Calibri" w:cs="Arial"/>
      <w:i/>
      <w:iCs/>
      <w:szCs w:val="20"/>
      <w:lang w:val="en-US"/>
    </w:rPr>
  </w:style>
  <w:style w:type="character" w:customStyle="1" w:styleId="Nagwek9Znak">
    <w:name w:val="Nagłówek 9 Znak"/>
    <w:basedOn w:val="Domylnaczcionkaakapitu"/>
    <w:link w:val="Nagwek9"/>
    <w:semiHidden/>
    <w:rsid w:val="009B04BF"/>
    <w:rPr>
      <w:rFonts w:ascii="Calibri" w:eastAsia="Malgun Gothic" w:hAnsi="Calibri" w:cs="Arial"/>
      <w:b/>
      <w:bCs/>
      <w:sz w:val="28"/>
      <w:szCs w:val="28"/>
      <w:lang w:val="en-GB"/>
    </w:rPr>
  </w:style>
  <w:style w:type="paragraph" w:styleId="Nagwekspisutreci">
    <w:name w:val="TOC Heading"/>
    <w:basedOn w:val="Nagwek1"/>
    <w:next w:val="Normalny"/>
    <w:uiPriority w:val="39"/>
    <w:unhideWhenUsed/>
    <w:qFormat/>
    <w:rsid w:val="00D318EF"/>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pl-PL" w:eastAsia="pl-PL"/>
    </w:rPr>
  </w:style>
  <w:style w:type="paragraph" w:styleId="Spistreci1">
    <w:name w:val="toc 1"/>
    <w:basedOn w:val="Normalny"/>
    <w:next w:val="Normalny"/>
    <w:autoRedefine/>
    <w:uiPriority w:val="39"/>
    <w:unhideWhenUsed/>
    <w:rsid w:val="00D318EF"/>
    <w:pPr>
      <w:spacing w:after="100"/>
    </w:pPr>
  </w:style>
  <w:style w:type="paragraph" w:styleId="Spistreci2">
    <w:name w:val="toc 2"/>
    <w:basedOn w:val="Normalny"/>
    <w:next w:val="Normalny"/>
    <w:autoRedefine/>
    <w:uiPriority w:val="39"/>
    <w:unhideWhenUsed/>
    <w:rsid w:val="00D318EF"/>
    <w:pPr>
      <w:spacing w:after="100" w:line="259" w:lineRule="auto"/>
      <w:ind w:left="220"/>
      <w:jc w:val="left"/>
    </w:pPr>
    <w:rPr>
      <w:rFonts w:asciiTheme="minorHAnsi" w:eastAsiaTheme="minorEastAsia" w:hAnsiTheme="minorHAnsi" w:cs="Times New Roman"/>
      <w:szCs w:val="22"/>
      <w:lang w:val="pl-PL" w:eastAsia="pl-PL"/>
    </w:rPr>
  </w:style>
  <w:style w:type="paragraph" w:styleId="Spistreci3">
    <w:name w:val="toc 3"/>
    <w:basedOn w:val="Normalny"/>
    <w:next w:val="Normalny"/>
    <w:autoRedefine/>
    <w:uiPriority w:val="39"/>
    <w:unhideWhenUsed/>
    <w:rsid w:val="00D318EF"/>
    <w:pPr>
      <w:spacing w:after="100" w:line="259" w:lineRule="auto"/>
      <w:ind w:left="440"/>
      <w:jc w:val="left"/>
    </w:pPr>
    <w:rPr>
      <w:rFonts w:asciiTheme="minorHAnsi" w:eastAsiaTheme="minorEastAsia" w:hAnsiTheme="minorHAnsi" w:cs="Times New Roman"/>
      <w:szCs w:val="22"/>
      <w:lang w:val="pl-PL" w:eastAsia="pl-PL"/>
    </w:rPr>
  </w:style>
  <w:style w:type="paragraph" w:styleId="Poprawka">
    <w:name w:val="Revision"/>
    <w:hidden/>
    <w:uiPriority w:val="99"/>
    <w:semiHidden/>
    <w:rsid w:val="00D47925"/>
    <w:pPr>
      <w:spacing w:after="0" w:line="240" w:lineRule="auto"/>
    </w:pPr>
    <w:rPr>
      <w:rFonts w:ascii="Calibri" w:eastAsia="Malgun Gothic" w:hAnsi="Calibri" w:cs="Arial"/>
      <w:szCs w:val="20"/>
      <w:lang w:val="en-US"/>
    </w:rPr>
  </w:style>
  <w:style w:type="paragraph" w:customStyle="1" w:styleId="Default">
    <w:name w:val="Default"/>
    <w:rsid w:val="003720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587">
      <w:bodyDiv w:val="1"/>
      <w:marLeft w:val="0"/>
      <w:marRight w:val="0"/>
      <w:marTop w:val="0"/>
      <w:marBottom w:val="0"/>
      <w:divBdr>
        <w:top w:val="none" w:sz="0" w:space="0" w:color="auto"/>
        <w:left w:val="none" w:sz="0" w:space="0" w:color="auto"/>
        <w:bottom w:val="none" w:sz="0" w:space="0" w:color="auto"/>
        <w:right w:val="none" w:sz="0" w:space="0" w:color="auto"/>
      </w:divBdr>
    </w:div>
    <w:div w:id="270211061">
      <w:bodyDiv w:val="1"/>
      <w:marLeft w:val="0"/>
      <w:marRight w:val="0"/>
      <w:marTop w:val="0"/>
      <w:marBottom w:val="0"/>
      <w:divBdr>
        <w:top w:val="none" w:sz="0" w:space="0" w:color="auto"/>
        <w:left w:val="none" w:sz="0" w:space="0" w:color="auto"/>
        <w:bottom w:val="none" w:sz="0" w:space="0" w:color="auto"/>
        <w:right w:val="none" w:sz="0" w:space="0" w:color="auto"/>
      </w:divBdr>
    </w:div>
    <w:div w:id="322318394">
      <w:bodyDiv w:val="1"/>
      <w:marLeft w:val="0"/>
      <w:marRight w:val="0"/>
      <w:marTop w:val="0"/>
      <w:marBottom w:val="0"/>
      <w:divBdr>
        <w:top w:val="none" w:sz="0" w:space="0" w:color="auto"/>
        <w:left w:val="none" w:sz="0" w:space="0" w:color="auto"/>
        <w:bottom w:val="none" w:sz="0" w:space="0" w:color="auto"/>
        <w:right w:val="none" w:sz="0" w:space="0" w:color="auto"/>
      </w:divBdr>
    </w:div>
    <w:div w:id="517279655">
      <w:bodyDiv w:val="1"/>
      <w:marLeft w:val="0"/>
      <w:marRight w:val="0"/>
      <w:marTop w:val="0"/>
      <w:marBottom w:val="0"/>
      <w:divBdr>
        <w:top w:val="none" w:sz="0" w:space="0" w:color="auto"/>
        <w:left w:val="none" w:sz="0" w:space="0" w:color="auto"/>
        <w:bottom w:val="none" w:sz="0" w:space="0" w:color="auto"/>
        <w:right w:val="none" w:sz="0" w:space="0" w:color="auto"/>
      </w:divBdr>
    </w:div>
    <w:div w:id="561134277">
      <w:bodyDiv w:val="1"/>
      <w:marLeft w:val="0"/>
      <w:marRight w:val="0"/>
      <w:marTop w:val="0"/>
      <w:marBottom w:val="0"/>
      <w:divBdr>
        <w:top w:val="none" w:sz="0" w:space="0" w:color="auto"/>
        <w:left w:val="none" w:sz="0" w:space="0" w:color="auto"/>
        <w:bottom w:val="none" w:sz="0" w:space="0" w:color="auto"/>
        <w:right w:val="none" w:sz="0" w:space="0" w:color="auto"/>
      </w:divBdr>
    </w:div>
    <w:div w:id="837228907">
      <w:bodyDiv w:val="1"/>
      <w:marLeft w:val="0"/>
      <w:marRight w:val="0"/>
      <w:marTop w:val="0"/>
      <w:marBottom w:val="0"/>
      <w:divBdr>
        <w:top w:val="none" w:sz="0" w:space="0" w:color="auto"/>
        <w:left w:val="none" w:sz="0" w:space="0" w:color="auto"/>
        <w:bottom w:val="none" w:sz="0" w:space="0" w:color="auto"/>
        <w:right w:val="none" w:sz="0" w:space="0" w:color="auto"/>
      </w:divBdr>
    </w:div>
    <w:div w:id="869298139">
      <w:bodyDiv w:val="1"/>
      <w:marLeft w:val="0"/>
      <w:marRight w:val="0"/>
      <w:marTop w:val="0"/>
      <w:marBottom w:val="0"/>
      <w:divBdr>
        <w:top w:val="none" w:sz="0" w:space="0" w:color="auto"/>
        <w:left w:val="none" w:sz="0" w:space="0" w:color="auto"/>
        <w:bottom w:val="none" w:sz="0" w:space="0" w:color="auto"/>
        <w:right w:val="none" w:sz="0" w:space="0" w:color="auto"/>
      </w:divBdr>
    </w:div>
    <w:div w:id="870461116">
      <w:bodyDiv w:val="1"/>
      <w:marLeft w:val="0"/>
      <w:marRight w:val="0"/>
      <w:marTop w:val="0"/>
      <w:marBottom w:val="0"/>
      <w:divBdr>
        <w:top w:val="none" w:sz="0" w:space="0" w:color="auto"/>
        <w:left w:val="none" w:sz="0" w:space="0" w:color="auto"/>
        <w:bottom w:val="none" w:sz="0" w:space="0" w:color="auto"/>
        <w:right w:val="none" w:sz="0" w:space="0" w:color="auto"/>
      </w:divBdr>
    </w:div>
    <w:div w:id="928582493">
      <w:bodyDiv w:val="1"/>
      <w:marLeft w:val="0"/>
      <w:marRight w:val="0"/>
      <w:marTop w:val="0"/>
      <w:marBottom w:val="0"/>
      <w:divBdr>
        <w:top w:val="none" w:sz="0" w:space="0" w:color="auto"/>
        <w:left w:val="none" w:sz="0" w:space="0" w:color="auto"/>
        <w:bottom w:val="none" w:sz="0" w:space="0" w:color="auto"/>
        <w:right w:val="none" w:sz="0" w:space="0" w:color="auto"/>
      </w:divBdr>
    </w:div>
    <w:div w:id="945846326">
      <w:bodyDiv w:val="1"/>
      <w:marLeft w:val="0"/>
      <w:marRight w:val="0"/>
      <w:marTop w:val="0"/>
      <w:marBottom w:val="0"/>
      <w:divBdr>
        <w:top w:val="none" w:sz="0" w:space="0" w:color="auto"/>
        <w:left w:val="none" w:sz="0" w:space="0" w:color="auto"/>
        <w:bottom w:val="none" w:sz="0" w:space="0" w:color="auto"/>
        <w:right w:val="none" w:sz="0" w:space="0" w:color="auto"/>
      </w:divBdr>
    </w:div>
    <w:div w:id="1142625032">
      <w:bodyDiv w:val="1"/>
      <w:marLeft w:val="0"/>
      <w:marRight w:val="0"/>
      <w:marTop w:val="0"/>
      <w:marBottom w:val="0"/>
      <w:divBdr>
        <w:top w:val="none" w:sz="0" w:space="0" w:color="auto"/>
        <w:left w:val="none" w:sz="0" w:space="0" w:color="auto"/>
        <w:bottom w:val="none" w:sz="0" w:space="0" w:color="auto"/>
        <w:right w:val="none" w:sz="0" w:space="0" w:color="auto"/>
      </w:divBdr>
    </w:div>
    <w:div w:id="1158035785">
      <w:bodyDiv w:val="1"/>
      <w:marLeft w:val="0"/>
      <w:marRight w:val="0"/>
      <w:marTop w:val="0"/>
      <w:marBottom w:val="0"/>
      <w:divBdr>
        <w:top w:val="none" w:sz="0" w:space="0" w:color="auto"/>
        <w:left w:val="none" w:sz="0" w:space="0" w:color="auto"/>
        <w:bottom w:val="none" w:sz="0" w:space="0" w:color="auto"/>
        <w:right w:val="none" w:sz="0" w:space="0" w:color="auto"/>
      </w:divBdr>
    </w:div>
    <w:div w:id="1159342711">
      <w:bodyDiv w:val="1"/>
      <w:marLeft w:val="0"/>
      <w:marRight w:val="0"/>
      <w:marTop w:val="0"/>
      <w:marBottom w:val="0"/>
      <w:divBdr>
        <w:top w:val="none" w:sz="0" w:space="0" w:color="auto"/>
        <w:left w:val="none" w:sz="0" w:space="0" w:color="auto"/>
        <w:bottom w:val="none" w:sz="0" w:space="0" w:color="auto"/>
        <w:right w:val="none" w:sz="0" w:space="0" w:color="auto"/>
      </w:divBdr>
    </w:div>
    <w:div w:id="1190414303">
      <w:bodyDiv w:val="1"/>
      <w:marLeft w:val="0"/>
      <w:marRight w:val="0"/>
      <w:marTop w:val="0"/>
      <w:marBottom w:val="0"/>
      <w:divBdr>
        <w:top w:val="none" w:sz="0" w:space="0" w:color="auto"/>
        <w:left w:val="none" w:sz="0" w:space="0" w:color="auto"/>
        <w:bottom w:val="none" w:sz="0" w:space="0" w:color="auto"/>
        <w:right w:val="none" w:sz="0" w:space="0" w:color="auto"/>
      </w:divBdr>
    </w:div>
    <w:div w:id="1419790133">
      <w:bodyDiv w:val="1"/>
      <w:marLeft w:val="0"/>
      <w:marRight w:val="0"/>
      <w:marTop w:val="0"/>
      <w:marBottom w:val="0"/>
      <w:divBdr>
        <w:top w:val="none" w:sz="0" w:space="0" w:color="auto"/>
        <w:left w:val="none" w:sz="0" w:space="0" w:color="auto"/>
        <w:bottom w:val="none" w:sz="0" w:space="0" w:color="auto"/>
        <w:right w:val="none" w:sz="0" w:space="0" w:color="auto"/>
      </w:divBdr>
    </w:div>
    <w:div w:id="1607884629">
      <w:bodyDiv w:val="1"/>
      <w:marLeft w:val="0"/>
      <w:marRight w:val="0"/>
      <w:marTop w:val="0"/>
      <w:marBottom w:val="0"/>
      <w:divBdr>
        <w:top w:val="none" w:sz="0" w:space="0" w:color="auto"/>
        <w:left w:val="none" w:sz="0" w:space="0" w:color="auto"/>
        <w:bottom w:val="none" w:sz="0" w:space="0" w:color="auto"/>
        <w:right w:val="none" w:sz="0" w:space="0" w:color="auto"/>
      </w:divBdr>
    </w:div>
    <w:div w:id="1757944829">
      <w:bodyDiv w:val="1"/>
      <w:marLeft w:val="0"/>
      <w:marRight w:val="0"/>
      <w:marTop w:val="0"/>
      <w:marBottom w:val="0"/>
      <w:divBdr>
        <w:top w:val="none" w:sz="0" w:space="0" w:color="auto"/>
        <w:left w:val="none" w:sz="0" w:space="0" w:color="auto"/>
        <w:bottom w:val="none" w:sz="0" w:space="0" w:color="auto"/>
        <w:right w:val="none" w:sz="0" w:space="0" w:color="auto"/>
      </w:divBdr>
    </w:div>
    <w:div w:id="1806466171">
      <w:bodyDiv w:val="1"/>
      <w:marLeft w:val="0"/>
      <w:marRight w:val="0"/>
      <w:marTop w:val="0"/>
      <w:marBottom w:val="0"/>
      <w:divBdr>
        <w:top w:val="none" w:sz="0" w:space="0" w:color="auto"/>
        <w:left w:val="none" w:sz="0" w:space="0" w:color="auto"/>
        <w:bottom w:val="none" w:sz="0" w:space="0" w:color="auto"/>
        <w:right w:val="none" w:sz="0" w:space="0" w:color="auto"/>
      </w:divBdr>
    </w:div>
    <w:div w:id="1833249807">
      <w:bodyDiv w:val="1"/>
      <w:marLeft w:val="0"/>
      <w:marRight w:val="0"/>
      <w:marTop w:val="0"/>
      <w:marBottom w:val="0"/>
      <w:divBdr>
        <w:top w:val="none" w:sz="0" w:space="0" w:color="auto"/>
        <w:left w:val="none" w:sz="0" w:space="0" w:color="auto"/>
        <w:bottom w:val="none" w:sz="0" w:space="0" w:color="auto"/>
        <w:right w:val="none" w:sz="0" w:space="0" w:color="auto"/>
      </w:divBdr>
    </w:div>
    <w:div w:id="1882673092">
      <w:bodyDiv w:val="1"/>
      <w:marLeft w:val="0"/>
      <w:marRight w:val="0"/>
      <w:marTop w:val="0"/>
      <w:marBottom w:val="0"/>
      <w:divBdr>
        <w:top w:val="none" w:sz="0" w:space="0" w:color="auto"/>
        <w:left w:val="none" w:sz="0" w:space="0" w:color="auto"/>
        <w:bottom w:val="none" w:sz="0" w:space="0" w:color="auto"/>
        <w:right w:val="none" w:sz="0" w:space="0" w:color="auto"/>
      </w:divBdr>
    </w:div>
    <w:div w:id="2025280133">
      <w:bodyDiv w:val="1"/>
      <w:marLeft w:val="0"/>
      <w:marRight w:val="0"/>
      <w:marTop w:val="0"/>
      <w:marBottom w:val="0"/>
      <w:divBdr>
        <w:top w:val="none" w:sz="0" w:space="0" w:color="auto"/>
        <w:left w:val="none" w:sz="0" w:space="0" w:color="auto"/>
        <w:bottom w:val="none" w:sz="0" w:space="0" w:color="auto"/>
        <w:right w:val="none" w:sz="0" w:space="0" w:color="auto"/>
      </w:divBdr>
    </w:div>
    <w:div w:id="20319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ngth@gum.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gth@gum.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ength@gum.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10A8-8072-457F-87E8-23744BD8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3214</Words>
  <Characters>19288</Characters>
  <Application>Microsoft Office Word</Application>
  <DocSecurity>0</DocSecurity>
  <Lines>160</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Czułek Dariusz</dc:creator>
  <cp:keywords/>
  <dc:description/>
  <cp:lastModifiedBy>Czułek Dariusz</cp:lastModifiedBy>
  <cp:revision>3</cp:revision>
  <dcterms:created xsi:type="dcterms:W3CDTF">2025-01-29T08:52:00Z</dcterms:created>
  <dcterms:modified xsi:type="dcterms:W3CDTF">2025-01-29T09:01:00Z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2022-01-31T10:29:47Z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d909ce5e-86db-4ddc-9bb1-647b35cd37fd</vt:lpwstr>
  </property>
  <property fmtid="{D5CDD505-2E9C-101B-9397-08002B2CF9AE}" pid="8" name="MSIP_Label_9df4b5af-ab42-45d5-91e7-45583bed1b2a_ContentBits">
    <vt:lpwstr>0</vt:lpwstr>
  </property>
</Properties>
</file>