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B5DB5" w14:textId="1F0978B1" w:rsidR="008C1DF2" w:rsidRPr="00C84F33" w:rsidRDefault="002D62AC" w:rsidP="00E95CB7">
      <w:pPr>
        <w:spacing w:before="120"/>
        <w:rPr>
          <w:rFonts w:cs="Tahoma"/>
          <w:sz w:val="28"/>
        </w:rPr>
      </w:pPr>
      <w:r w:rsidRPr="00494EA9">
        <w:rPr>
          <w:rFonts w:cs="Tahoma"/>
          <w:sz w:val="28"/>
        </w:rPr>
        <w:t>Supplementary</w:t>
      </w:r>
      <w:r w:rsidR="00C84F33" w:rsidRPr="00494EA9">
        <w:rPr>
          <w:rFonts w:cs="Tahoma"/>
          <w:sz w:val="28"/>
        </w:rPr>
        <w:t xml:space="preserve"> Comparison </w:t>
      </w:r>
      <w:proofErr w:type="spellStart"/>
      <w:r w:rsidRPr="00494EA9">
        <w:rPr>
          <w:rFonts w:cs="Tahoma"/>
          <w:sz w:val="28"/>
        </w:rPr>
        <w:t>EURAMET</w:t>
      </w:r>
      <w:r w:rsidR="002B1330" w:rsidRPr="00494EA9">
        <w:rPr>
          <w:rFonts w:cs="Tahoma"/>
          <w:sz w:val="28"/>
        </w:rPr>
        <w:t>.EM</w:t>
      </w:r>
      <w:r w:rsidRPr="00494EA9">
        <w:rPr>
          <w:rFonts w:cs="Tahoma"/>
          <w:sz w:val="28"/>
        </w:rPr>
        <w:t>-</w:t>
      </w:r>
      <w:r w:rsidR="002B1330" w:rsidRPr="00494EA9">
        <w:rPr>
          <w:rFonts w:cs="Tahoma"/>
          <w:sz w:val="28"/>
        </w:rPr>
        <w:t>S</w:t>
      </w:r>
      <w:r w:rsidR="00494EA9" w:rsidRPr="00494EA9">
        <w:rPr>
          <w:rFonts w:cs="Tahoma"/>
          <w:sz w:val="28"/>
        </w:rPr>
        <w:t>46</w:t>
      </w:r>
      <w:proofErr w:type="spellEnd"/>
      <w:r w:rsidR="00E95CB7" w:rsidRPr="00C84F33">
        <w:rPr>
          <w:rFonts w:cs="Tahoma"/>
          <w:sz w:val="28"/>
        </w:rPr>
        <w:t xml:space="preserve"> </w:t>
      </w:r>
      <w:r w:rsidR="00494EA9">
        <w:rPr>
          <w:rFonts w:cs="Tahoma"/>
          <w:sz w:val="28"/>
        </w:rPr>
        <w:t xml:space="preserve">and </w:t>
      </w:r>
      <w:proofErr w:type="spellStart"/>
      <w:r w:rsidR="00494EA9" w:rsidRPr="00494EA9">
        <w:rPr>
          <w:rFonts w:cs="Tahoma"/>
          <w:sz w:val="28"/>
        </w:rPr>
        <w:t>EURAMET.EM-S4</w:t>
      </w:r>
      <w:r w:rsidR="00494EA9">
        <w:rPr>
          <w:rFonts w:cs="Tahoma"/>
          <w:sz w:val="28"/>
        </w:rPr>
        <w:t>7</w:t>
      </w:r>
      <w:proofErr w:type="spellEnd"/>
    </w:p>
    <w:p w14:paraId="0E3AC9AF" w14:textId="69A2CB51" w:rsidR="000A5985" w:rsidRPr="002D62AC" w:rsidRDefault="002B1330" w:rsidP="00E95CB7">
      <w:pPr>
        <w:spacing w:before="120"/>
        <w:rPr>
          <w:rFonts w:cs="Tahoma"/>
          <w:b/>
          <w:bCs/>
          <w:sz w:val="28"/>
        </w:rPr>
      </w:pPr>
      <w:r>
        <w:rPr>
          <w:rFonts w:cs="Tahoma"/>
          <w:b/>
          <w:bCs/>
          <w:sz w:val="28"/>
        </w:rPr>
        <w:t>High voltage c</w:t>
      </w:r>
      <w:r w:rsidR="002D62AC">
        <w:rPr>
          <w:rFonts w:cs="Tahoma"/>
          <w:b/>
          <w:bCs/>
          <w:sz w:val="28"/>
        </w:rPr>
        <w:t>omparison of DC ratio and high resistance</w:t>
      </w:r>
    </w:p>
    <w:p w14:paraId="5593CD14" w14:textId="222F66B6" w:rsidR="00E95CB7" w:rsidRDefault="00E95CB7" w:rsidP="00E95CB7">
      <w:pPr>
        <w:spacing w:before="120"/>
        <w:rPr>
          <w:rFonts w:cs="Tahoma"/>
          <w:b/>
          <w:bCs/>
          <w:sz w:val="28"/>
        </w:rPr>
      </w:pPr>
    </w:p>
    <w:p w14:paraId="25249E80" w14:textId="4816F686" w:rsidR="00334B9E" w:rsidRPr="00FD38C6" w:rsidRDefault="00E95CB7" w:rsidP="00E95CB7">
      <w:pPr>
        <w:spacing w:before="120"/>
        <w:rPr>
          <w:rFonts w:cs="Tahoma"/>
          <w:b/>
          <w:bCs/>
          <w:sz w:val="36"/>
          <w:szCs w:val="32"/>
          <w:lang w:val="en-US"/>
        </w:rPr>
      </w:pPr>
      <w:r w:rsidRPr="00FD38C6">
        <w:rPr>
          <w:rFonts w:cs="Tahoma"/>
          <w:b/>
          <w:bCs/>
          <w:sz w:val="36"/>
          <w:szCs w:val="32"/>
          <w:lang w:val="en-US"/>
        </w:rPr>
        <w:t>TECHNICAL PROTOCOL</w:t>
      </w:r>
    </w:p>
    <w:p w14:paraId="0F8423EB" w14:textId="77C23AB9" w:rsidR="00E95CB7" w:rsidRPr="00FD38C6" w:rsidRDefault="00E95CB7" w:rsidP="00E95CB7">
      <w:pPr>
        <w:spacing w:before="120"/>
        <w:rPr>
          <w:rFonts w:cs="Tahoma"/>
          <w:sz w:val="28"/>
          <w:lang w:val="en-US"/>
        </w:rPr>
      </w:pPr>
      <w:r w:rsidRPr="00FD38C6">
        <w:rPr>
          <w:rFonts w:cs="Tahoma"/>
          <w:sz w:val="28"/>
          <w:lang w:val="en-US"/>
        </w:rPr>
        <w:t xml:space="preserve">version </w:t>
      </w:r>
      <w:r w:rsidR="00494EA9">
        <w:rPr>
          <w:rFonts w:cs="Tahoma"/>
          <w:sz w:val="28"/>
        </w:rPr>
        <w:t>1.0</w:t>
      </w:r>
      <w:r w:rsidRPr="00FD38C6">
        <w:rPr>
          <w:rFonts w:cs="Tahoma"/>
          <w:sz w:val="28"/>
          <w:lang w:val="en-US"/>
        </w:rPr>
        <w:t xml:space="preserve">, </w:t>
      </w:r>
      <w:r w:rsidR="00494EA9">
        <w:rPr>
          <w:rFonts w:cs="Tahoma"/>
          <w:sz w:val="28"/>
        </w:rPr>
        <w:t>Oct</w:t>
      </w:r>
      <w:r w:rsidR="00104AF9" w:rsidRPr="00FD38C6">
        <w:rPr>
          <w:rFonts w:cs="Tahoma"/>
          <w:sz w:val="28"/>
          <w:lang w:val="en-US"/>
        </w:rPr>
        <w:t xml:space="preserve"> </w:t>
      </w:r>
      <w:r w:rsidR="00494EA9">
        <w:rPr>
          <w:rFonts w:cs="Tahoma"/>
          <w:sz w:val="28"/>
        </w:rPr>
        <w:t>07</w:t>
      </w:r>
      <w:r w:rsidR="00F03F12" w:rsidRPr="00FD38C6">
        <w:rPr>
          <w:rFonts w:cs="Tahoma"/>
          <w:sz w:val="28"/>
          <w:lang w:val="en-US"/>
        </w:rPr>
        <w:t>, 202</w:t>
      </w:r>
      <w:r w:rsidR="002D62AC">
        <w:rPr>
          <w:rFonts w:cs="Tahoma"/>
          <w:sz w:val="28"/>
        </w:rPr>
        <w:t>2</w:t>
      </w:r>
    </w:p>
    <w:p w14:paraId="70A320E6" w14:textId="77777777" w:rsidR="00334B9E" w:rsidRPr="00FD38C6" w:rsidRDefault="00334B9E" w:rsidP="00E95CB7">
      <w:pPr>
        <w:spacing w:before="120"/>
        <w:rPr>
          <w:rFonts w:cs="Tahoma"/>
          <w:sz w:val="28"/>
          <w:lang w:val="en-US"/>
        </w:rPr>
      </w:pPr>
    </w:p>
    <w:p w14:paraId="0F205C00" w14:textId="15144921" w:rsidR="00F03F12" w:rsidRPr="002D62AC" w:rsidRDefault="009E53F4" w:rsidP="00E95CB7">
      <w:pPr>
        <w:spacing w:before="120"/>
        <w:rPr>
          <w:rFonts w:cs="Tahoma"/>
          <w:sz w:val="28"/>
        </w:rPr>
      </w:pPr>
      <w:r>
        <w:rPr>
          <w:rFonts w:cs="Tahoma"/>
          <w:sz w:val="28"/>
        </w:rPr>
        <w:t>A.-P</w:t>
      </w:r>
      <w:r w:rsidRPr="00FD38C6">
        <w:rPr>
          <w:rFonts w:cs="Tahoma"/>
          <w:sz w:val="28"/>
          <w:lang w:val="en-US"/>
        </w:rPr>
        <w:t xml:space="preserve">. </w:t>
      </w:r>
      <w:r>
        <w:rPr>
          <w:rFonts w:cs="Tahoma"/>
          <w:sz w:val="28"/>
        </w:rPr>
        <w:t>Elg</w:t>
      </w:r>
      <w:r>
        <w:rPr>
          <w:rStyle w:val="FootnoteReference"/>
          <w:rFonts w:cs="Tahoma"/>
          <w:sz w:val="28"/>
          <w:lang w:val="sv-SE"/>
        </w:rPr>
        <w:footnoteReference w:id="1"/>
      </w:r>
      <w:r w:rsidRPr="00FD38C6">
        <w:rPr>
          <w:rFonts w:cs="Tahoma"/>
          <w:sz w:val="28"/>
          <w:lang w:val="en-US"/>
        </w:rPr>
        <w:t xml:space="preserve">, </w:t>
      </w:r>
      <w:r w:rsidR="00F03F12" w:rsidRPr="00FD38C6">
        <w:rPr>
          <w:rFonts w:cs="Tahoma"/>
          <w:sz w:val="28"/>
          <w:lang w:val="en-US"/>
        </w:rPr>
        <w:t>J. Hällstr</w:t>
      </w:r>
      <w:r w:rsidR="002E1DCF" w:rsidRPr="00FD38C6">
        <w:rPr>
          <w:rFonts w:cs="Tahoma"/>
          <w:sz w:val="28"/>
          <w:lang w:val="en-US"/>
        </w:rPr>
        <w:t>öm</w:t>
      </w:r>
      <w:r w:rsidR="001C29C0">
        <w:rPr>
          <w:rStyle w:val="FootnoteReference"/>
          <w:rFonts w:cs="Tahoma"/>
          <w:sz w:val="28"/>
          <w:lang w:val="sv-SE"/>
        </w:rPr>
        <w:footnoteReference w:id="2"/>
      </w:r>
      <w:r w:rsidR="002E1DCF" w:rsidRPr="00FD38C6">
        <w:rPr>
          <w:rFonts w:cs="Tahoma"/>
          <w:sz w:val="28"/>
          <w:lang w:val="en-US"/>
        </w:rPr>
        <w:t>,</w:t>
      </w:r>
      <w:r w:rsidR="002D62AC" w:rsidRPr="00FD38C6">
        <w:rPr>
          <w:rFonts w:cs="Tahoma"/>
          <w:sz w:val="28"/>
          <w:lang w:val="en-US"/>
        </w:rPr>
        <w:t xml:space="preserve"> </w:t>
      </w:r>
      <w:r w:rsidR="00A44E05">
        <w:rPr>
          <w:rFonts w:cs="Tahoma"/>
          <w:sz w:val="28"/>
        </w:rPr>
        <w:t>G. Rietveld</w:t>
      </w:r>
      <w:r w:rsidR="00A44E05">
        <w:rPr>
          <w:rStyle w:val="FootnoteReference"/>
          <w:rFonts w:cs="Tahoma"/>
          <w:sz w:val="28"/>
        </w:rPr>
        <w:footnoteReference w:id="3"/>
      </w:r>
    </w:p>
    <w:p w14:paraId="1CBEB3BE" w14:textId="26CE7F56" w:rsidR="0052068E" w:rsidRPr="00FD38C6" w:rsidRDefault="0052068E" w:rsidP="00E95CB7">
      <w:pPr>
        <w:spacing w:before="120"/>
        <w:rPr>
          <w:rFonts w:cs="Tahoma"/>
          <w:sz w:val="28"/>
          <w:lang w:val="en-US"/>
        </w:rPr>
      </w:pPr>
    </w:p>
    <w:p w14:paraId="5AF7E061" w14:textId="7267D6C8" w:rsidR="002E7FCA" w:rsidRPr="00FD38C6" w:rsidRDefault="002E7FCA" w:rsidP="00E95CB7">
      <w:pPr>
        <w:spacing w:before="120"/>
        <w:rPr>
          <w:rFonts w:cs="Tahoma"/>
          <w:sz w:val="28"/>
          <w:lang w:val="en-US"/>
        </w:rPr>
      </w:pPr>
    </w:p>
    <w:p w14:paraId="14A7A5EE" w14:textId="7E9544E5" w:rsidR="002E7FCA" w:rsidRPr="00FD38C6" w:rsidRDefault="002E7FCA" w:rsidP="00E95CB7">
      <w:pPr>
        <w:spacing w:before="120"/>
        <w:rPr>
          <w:rFonts w:cs="Tahoma"/>
          <w:sz w:val="28"/>
          <w:lang w:val="en-US"/>
        </w:rPr>
      </w:pPr>
    </w:p>
    <w:p w14:paraId="3F80F030" w14:textId="508B49F6" w:rsidR="002E7FCA" w:rsidRPr="00FD38C6" w:rsidRDefault="002E7FCA" w:rsidP="00E95CB7">
      <w:pPr>
        <w:spacing w:before="120"/>
        <w:rPr>
          <w:rFonts w:cs="Tahoma"/>
          <w:sz w:val="28"/>
          <w:lang w:val="en-US"/>
        </w:rPr>
      </w:pPr>
    </w:p>
    <w:p w14:paraId="0AA14B1F" w14:textId="68CB9530" w:rsidR="002E7FCA" w:rsidRPr="00FD38C6" w:rsidRDefault="002E7FCA" w:rsidP="00E95CB7">
      <w:pPr>
        <w:spacing w:before="120"/>
        <w:rPr>
          <w:rFonts w:cs="Tahoma"/>
          <w:sz w:val="28"/>
          <w:lang w:val="en-US"/>
        </w:rPr>
      </w:pPr>
    </w:p>
    <w:p w14:paraId="652743BA" w14:textId="2E5E28FD" w:rsidR="002E7FCA" w:rsidRPr="00FD38C6" w:rsidRDefault="002E7FCA" w:rsidP="00E95CB7">
      <w:pPr>
        <w:spacing w:before="120"/>
        <w:rPr>
          <w:rFonts w:cs="Tahoma"/>
          <w:sz w:val="28"/>
          <w:lang w:val="en-US"/>
        </w:rPr>
      </w:pPr>
    </w:p>
    <w:p w14:paraId="6D573365" w14:textId="455BA074" w:rsidR="002E7FCA" w:rsidRPr="00FD38C6" w:rsidRDefault="002E7FCA" w:rsidP="00E95CB7">
      <w:pPr>
        <w:spacing w:before="120"/>
        <w:rPr>
          <w:rFonts w:cs="Tahoma"/>
          <w:sz w:val="28"/>
          <w:lang w:val="en-US"/>
        </w:rPr>
      </w:pPr>
    </w:p>
    <w:p w14:paraId="6727583B" w14:textId="6B70C452" w:rsidR="002E7FCA" w:rsidRPr="00FD38C6" w:rsidRDefault="002E7FCA" w:rsidP="00E95CB7">
      <w:pPr>
        <w:spacing w:before="120"/>
        <w:rPr>
          <w:rFonts w:cs="Tahoma"/>
          <w:sz w:val="28"/>
          <w:lang w:val="en-US"/>
        </w:rPr>
      </w:pPr>
    </w:p>
    <w:p w14:paraId="6028656A" w14:textId="08C77571" w:rsidR="002E7FCA" w:rsidRPr="00FD38C6" w:rsidRDefault="002E7FCA" w:rsidP="00E95CB7">
      <w:pPr>
        <w:spacing w:before="120"/>
        <w:rPr>
          <w:rFonts w:cs="Tahoma"/>
          <w:sz w:val="28"/>
          <w:lang w:val="en-US"/>
        </w:rPr>
      </w:pPr>
    </w:p>
    <w:p w14:paraId="66F13309" w14:textId="4E3FC8F2" w:rsidR="002E7FCA" w:rsidRPr="00FD38C6" w:rsidRDefault="002E7FCA" w:rsidP="00E95CB7">
      <w:pPr>
        <w:spacing w:before="120"/>
        <w:rPr>
          <w:rFonts w:cs="Tahoma"/>
          <w:sz w:val="28"/>
          <w:lang w:val="en-US"/>
        </w:rPr>
      </w:pPr>
    </w:p>
    <w:p w14:paraId="000CBC3E" w14:textId="039E3F37" w:rsidR="002E7FCA" w:rsidRPr="00FD38C6" w:rsidRDefault="002E7FCA" w:rsidP="00E95CB7">
      <w:pPr>
        <w:spacing w:before="120"/>
        <w:rPr>
          <w:rFonts w:cs="Tahoma"/>
          <w:sz w:val="28"/>
          <w:lang w:val="en-US"/>
        </w:rPr>
      </w:pPr>
    </w:p>
    <w:p w14:paraId="68EBC64B" w14:textId="38232446" w:rsidR="002E7FCA" w:rsidRPr="00FD38C6" w:rsidRDefault="002E7FCA" w:rsidP="00E95CB7">
      <w:pPr>
        <w:spacing w:before="120"/>
        <w:rPr>
          <w:rFonts w:cs="Tahoma"/>
          <w:sz w:val="28"/>
          <w:lang w:val="en-US"/>
        </w:rPr>
      </w:pPr>
    </w:p>
    <w:p w14:paraId="373370D0" w14:textId="77777777" w:rsidR="002E7FCA" w:rsidRPr="00FD38C6" w:rsidRDefault="002E7FCA" w:rsidP="00E95CB7">
      <w:pPr>
        <w:spacing w:before="120"/>
        <w:rPr>
          <w:rFonts w:cs="Tahoma"/>
          <w:sz w:val="28"/>
          <w:lang w:val="en-US"/>
        </w:rPr>
      </w:pPr>
    </w:p>
    <w:p w14:paraId="7E284B0C" w14:textId="6AD413A7" w:rsidR="0052068E" w:rsidRPr="00FD38C6" w:rsidRDefault="0052068E" w:rsidP="00E95CB7">
      <w:pPr>
        <w:spacing w:before="120"/>
        <w:rPr>
          <w:rFonts w:cs="Tahoma"/>
          <w:sz w:val="28"/>
          <w:lang w:val="en-US"/>
        </w:rPr>
      </w:pPr>
    </w:p>
    <w:p w14:paraId="6502D717" w14:textId="39027D13" w:rsidR="0052068E" w:rsidRPr="00FD38C6" w:rsidRDefault="0052068E" w:rsidP="00E95CB7">
      <w:pPr>
        <w:spacing w:before="120"/>
        <w:rPr>
          <w:rFonts w:cs="Tahoma"/>
          <w:sz w:val="28"/>
          <w:lang w:val="en-US"/>
        </w:rPr>
      </w:pPr>
    </w:p>
    <w:p w14:paraId="2F851513" w14:textId="1F864535" w:rsidR="0052068E" w:rsidRPr="00FD38C6" w:rsidRDefault="0052068E" w:rsidP="00E95CB7">
      <w:pPr>
        <w:spacing w:before="120"/>
        <w:rPr>
          <w:rFonts w:cs="Tahoma"/>
          <w:sz w:val="28"/>
          <w:lang w:val="en-US"/>
        </w:rPr>
      </w:pPr>
    </w:p>
    <w:p w14:paraId="7D19CAC8" w14:textId="61855443" w:rsidR="0052068E" w:rsidRPr="00FD38C6" w:rsidRDefault="0052068E" w:rsidP="00E95CB7">
      <w:pPr>
        <w:spacing w:before="120"/>
        <w:rPr>
          <w:rFonts w:cs="Tahoma"/>
          <w:sz w:val="28"/>
          <w:lang w:val="en-US"/>
        </w:rPr>
      </w:pPr>
    </w:p>
    <w:p w14:paraId="52FE870C" w14:textId="77777777" w:rsidR="0052068E" w:rsidRPr="00FD38C6" w:rsidRDefault="0052068E" w:rsidP="00E95CB7">
      <w:pPr>
        <w:spacing w:before="120"/>
        <w:rPr>
          <w:rFonts w:cs="Tahoma"/>
          <w:b/>
          <w:bCs/>
          <w:sz w:val="28"/>
          <w:lang w:val="en-US"/>
        </w:rPr>
      </w:pPr>
    </w:p>
    <w:p w14:paraId="48F36E23" w14:textId="77777777" w:rsidR="000A5985" w:rsidRPr="00E17994" w:rsidRDefault="00097EF5" w:rsidP="00E85E30">
      <w:pPr>
        <w:pStyle w:val="Heading1"/>
      </w:pPr>
      <w:r w:rsidRPr="00E17994">
        <w:lastRenderedPageBreak/>
        <w:t>Introduction</w:t>
      </w:r>
    </w:p>
    <w:p w14:paraId="6B434950" w14:textId="77777777" w:rsidR="00272B11" w:rsidRDefault="00272B11">
      <w:pPr>
        <w:spacing w:before="120"/>
        <w:jc w:val="both"/>
        <w:rPr>
          <w:rFonts w:cs="Tahom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95"/>
      </w:tblGrid>
      <w:tr w:rsidR="00272B11" w:rsidRPr="00FF37AB" w14:paraId="339BC9BB" w14:textId="77777777" w:rsidTr="007E496F">
        <w:tc>
          <w:tcPr>
            <w:tcW w:w="2977" w:type="dxa"/>
          </w:tcPr>
          <w:p w14:paraId="4603A0AB" w14:textId="77777777" w:rsidR="00272B11" w:rsidRPr="00FF37AB" w:rsidRDefault="00272B11" w:rsidP="00F1368A">
            <w:pPr>
              <w:spacing w:before="100" w:beforeAutospacing="1"/>
              <w:jc w:val="right"/>
              <w:rPr>
                <w:b/>
              </w:rPr>
            </w:pPr>
            <w:r w:rsidRPr="00FF37AB">
              <w:rPr>
                <w:b/>
              </w:rPr>
              <w:t>Metrology area, branch</w:t>
            </w:r>
          </w:p>
        </w:tc>
        <w:tc>
          <w:tcPr>
            <w:tcW w:w="6095" w:type="dxa"/>
          </w:tcPr>
          <w:p w14:paraId="143796AB" w14:textId="77777777" w:rsidR="00272B11" w:rsidRPr="00FF37AB" w:rsidRDefault="00272B11" w:rsidP="00F1368A">
            <w:pPr>
              <w:spacing w:before="100" w:beforeAutospacing="1"/>
              <w:jc w:val="both"/>
            </w:pPr>
            <w:r w:rsidRPr="00FF37AB">
              <w:t xml:space="preserve">Electricity and Magnetism, </w:t>
            </w:r>
            <w:r>
              <w:t>High</w:t>
            </w:r>
            <w:r w:rsidRPr="00FF37AB">
              <w:t xml:space="preserve"> Voltage and Current </w:t>
            </w:r>
          </w:p>
        </w:tc>
      </w:tr>
      <w:tr w:rsidR="00272B11" w:rsidRPr="00FF37AB" w14:paraId="26C5F64D" w14:textId="77777777" w:rsidTr="007E496F">
        <w:tc>
          <w:tcPr>
            <w:tcW w:w="2977" w:type="dxa"/>
          </w:tcPr>
          <w:p w14:paraId="7A96D9D4" w14:textId="77777777" w:rsidR="00272B11" w:rsidRPr="00FF37AB" w:rsidRDefault="00272B11" w:rsidP="00F1368A">
            <w:pPr>
              <w:spacing w:before="100" w:beforeAutospacing="1"/>
              <w:jc w:val="right"/>
              <w:rPr>
                <w:b/>
              </w:rPr>
            </w:pPr>
            <w:r w:rsidRPr="00FF37AB">
              <w:rPr>
                <w:b/>
              </w:rPr>
              <w:t>Description</w:t>
            </w:r>
          </w:p>
        </w:tc>
        <w:tc>
          <w:tcPr>
            <w:tcW w:w="6095" w:type="dxa"/>
          </w:tcPr>
          <w:p w14:paraId="082FA47D" w14:textId="0517CBA0" w:rsidR="00272B11" w:rsidRPr="00FF37AB" w:rsidRDefault="002D62AC" w:rsidP="00F1368A">
            <w:pPr>
              <w:spacing w:before="100" w:beforeAutospacing="1"/>
              <w:jc w:val="both"/>
            </w:pPr>
            <w:r>
              <w:t>High DC voltage ratio up to 200 kV</w:t>
            </w:r>
            <w:r w:rsidR="00272B11" w:rsidRPr="00FF37AB">
              <w:t xml:space="preserve"> </w:t>
            </w:r>
          </w:p>
        </w:tc>
      </w:tr>
      <w:tr w:rsidR="00272B11" w:rsidRPr="00FF37AB" w14:paraId="2550FFF9" w14:textId="77777777" w:rsidTr="007E496F">
        <w:tc>
          <w:tcPr>
            <w:tcW w:w="2977" w:type="dxa"/>
          </w:tcPr>
          <w:p w14:paraId="1386A5DE" w14:textId="77777777" w:rsidR="00272B11" w:rsidRPr="00FF37AB" w:rsidRDefault="00272B11" w:rsidP="00F1368A">
            <w:pPr>
              <w:spacing w:before="100" w:beforeAutospacing="1"/>
              <w:jc w:val="right"/>
              <w:rPr>
                <w:b/>
              </w:rPr>
            </w:pPr>
            <w:r w:rsidRPr="00FF37AB">
              <w:rPr>
                <w:b/>
              </w:rPr>
              <w:t>Time of measurement</w:t>
            </w:r>
          </w:p>
        </w:tc>
        <w:tc>
          <w:tcPr>
            <w:tcW w:w="6095" w:type="dxa"/>
          </w:tcPr>
          <w:p w14:paraId="2F95EA79" w14:textId="09743FC8" w:rsidR="00272B11" w:rsidRPr="00FF37AB" w:rsidRDefault="00272B11" w:rsidP="00F1368A">
            <w:pPr>
              <w:spacing w:before="100" w:beforeAutospacing="1"/>
              <w:jc w:val="both"/>
            </w:pPr>
            <w:r w:rsidRPr="00FF37AB">
              <w:t>20</w:t>
            </w:r>
            <w:r>
              <w:t>2</w:t>
            </w:r>
            <w:r w:rsidR="002D62AC">
              <w:t>2</w:t>
            </w:r>
            <w:r>
              <w:t>-</w:t>
            </w:r>
            <w:r w:rsidR="009E53F4">
              <w:t>0</w:t>
            </w:r>
            <w:r w:rsidR="009E53F4">
              <w:rPr>
                <w:lang w:val="sv-SE"/>
              </w:rPr>
              <w:t>3-07</w:t>
            </w:r>
            <w:r w:rsidR="009E53F4">
              <w:t xml:space="preserve"> </w:t>
            </w:r>
            <w:r w:rsidR="002D62AC">
              <w:t>– 2022-03</w:t>
            </w:r>
            <w:r w:rsidR="009E53F4">
              <w:rPr>
                <w:lang w:val="sv-SE"/>
              </w:rPr>
              <w:t>-25</w:t>
            </w:r>
            <w:r w:rsidRPr="00FF37AB">
              <w:t xml:space="preserve"> </w:t>
            </w:r>
          </w:p>
        </w:tc>
      </w:tr>
      <w:tr w:rsidR="00272B11" w:rsidRPr="00FF37AB" w14:paraId="75D2A676" w14:textId="77777777" w:rsidTr="007E496F">
        <w:tc>
          <w:tcPr>
            <w:tcW w:w="2977" w:type="dxa"/>
          </w:tcPr>
          <w:p w14:paraId="2F78A908" w14:textId="475FAAA3" w:rsidR="00272B11" w:rsidRPr="00FF37AB" w:rsidRDefault="00272B11" w:rsidP="00F1368A">
            <w:pPr>
              <w:spacing w:before="100" w:beforeAutospacing="1"/>
              <w:jc w:val="right"/>
              <w:rPr>
                <w:b/>
              </w:rPr>
            </w:pPr>
            <w:r w:rsidRPr="00FF37AB">
              <w:rPr>
                <w:b/>
              </w:rPr>
              <w:t>M</w:t>
            </w:r>
            <w:r w:rsidR="002D62AC">
              <w:rPr>
                <w:b/>
              </w:rPr>
              <w:t>e</w:t>
            </w:r>
            <w:r w:rsidRPr="00FF37AB">
              <w:rPr>
                <w:b/>
              </w:rPr>
              <w:t>asurand(s)</w:t>
            </w:r>
          </w:p>
        </w:tc>
        <w:tc>
          <w:tcPr>
            <w:tcW w:w="6095" w:type="dxa"/>
          </w:tcPr>
          <w:p w14:paraId="42F96CE0" w14:textId="796EA4A4" w:rsidR="00272B11" w:rsidRPr="002D62AC" w:rsidRDefault="002D62AC" w:rsidP="00F1368A">
            <w:pPr>
              <w:tabs>
                <w:tab w:val="left" w:pos="299"/>
              </w:tabs>
              <w:spacing w:before="100" w:beforeAutospacing="1"/>
            </w:pPr>
            <w:r>
              <w:t>DC voltage ratio</w:t>
            </w:r>
            <w:r>
              <w:br/>
              <w:t>DC resistance</w:t>
            </w:r>
          </w:p>
        </w:tc>
      </w:tr>
      <w:tr w:rsidR="00272B11" w:rsidRPr="00FF37AB" w14:paraId="7B4755A5" w14:textId="77777777" w:rsidTr="007E496F">
        <w:tc>
          <w:tcPr>
            <w:tcW w:w="2977" w:type="dxa"/>
          </w:tcPr>
          <w:p w14:paraId="2D48FBF2" w14:textId="77777777" w:rsidR="00272B11" w:rsidRPr="00FF37AB" w:rsidRDefault="00272B11" w:rsidP="00F1368A">
            <w:pPr>
              <w:spacing w:before="100" w:beforeAutospacing="1"/>
              <w:jc w:val="right"/>
              <w:rPr>
                <w:b/>
              </w:rPr>
            </w:pPr>
            <w:r w:rsidRPr="00FF37AB">
              <w:rPr>
                <w:b/>
              </w:rPr>
              <w:t>Parameter(s)</w:t>
            </w:r>
          </w:p>
        </w:tc>
        <w:tc>
          <w:tcPr>
            <w:tcW w:w="6095" w:type="dxa"/>
          </w:tcPr>
          <w:p w14:paraId="63F64F26" w14:textId="680E7C78" w:rsidR="00121975" w:rsidRPr="002D62AC" w:rsidRDefault="002D62AC" w:rsidP="00F1368A">
            <w:pPr>
              <w:spacing w:before="100" w:beforeAutospacing="1"/>
            </w:pPr>
            <w:r>
              <w:t>Nominal ratio: 20000</w:t>
            </w:r>
            <w:r>
              <w:br/>
              <w:t>Nominal resistance: 2 GΩ</w:t>
            </w:r>
            <w:r w:rsidR="00121975">
              <w:br/>
              <w:t>Voltage: up to 200 kV</w:t>
            </w:r>
          </w:p>
        </w:tc>
      </w:tr>
      <w:tr w:rsidR="00272B11" w:rsidRPr="00FF37AB" w14:paraId="3A086B05" w14:textId="77777777" w:rsidTr="007E496F">
        <w:tc>
          <w:tcPr>
            <w:tcW w:w="2977" w:type="dxa"/>
          </w:tcPr>
          <w:p w14:paraId="7AAD89E8" w14:textId="77777777" w:rsidR="00272B11" w:rsidRPr="00FF37AB" w:rsidRDefault="00272B11" w:rsidP="00F1368A">
            <w:pPr>
              <w:spacing w:before="100" w:beforeAutospacing="1"/>
              <w:jc w:val="right"/>
              <w:rPr>
                <w:b/>
              </w:rPr>
            </w:pPr>
            <w:r w:rsidRPr="00FF37AB">
              <w:rPr>
                <w:b/>
              </w:rPr>
              <w:t>Transfer device(s)</w:t>
            </w:r>
          </w:p>
        </w:tc>
        <w:tc>
          <w:tcPr>
            <w:tcW w:w="6095" w:type="dxa"/>
          </w:tcPr>
          <w:p w14:paraId="6E9089EE" w14:textId="3CA93779" w:rsidR="00272B11" w:rsidRPr="002D62AC" w:rsidRDefault="002D62AC" w:rsidP="00F1368A">
            <w:pPr>
              <w:spacing w:before="100" w:beforeAutospacing="1"/>
              <w:jc w:val="both"/>
            </w:pPr>
            <w:r>
              <w:t>Star comparison</w:t>
            </w:r>
            <w:r w:rsidR="00D95A02">
              <w:t>, all references in one lab at the same time.</w:t>
            </w:r>
          </w:p>
        </w:tc>
      </w:tr>
      <w:tr w:rsidR="00272B11" w:rsidRPr="00FF37AB" w14:paraId="327D373E" w14:textId="77777777" w:rsidTr="007E496F">
        <w:tc>
          <w:tcPr>
            <w:tcW w:w="2977" w:type="dxa"/>
          </w:tcPr>
          <w:p w14:paraId="6FFE6685" w14:textId="77777777" w:rsidR="00272B11" w:rsidRPr="00FF37AB" w:rsidRDefault="00272B11" w:rsidP="00F1368A">
            <w:pPr>
              <w:spacing w:before="100" w:beforeAutospacing="1"/>
              <w:jc w:val="right"/>
              <w:rPr>
                <w:b/>
              </w:rPr>
            </w:pPr>
            <w:r w:rsidRPr="00FF37AB">
              <w:rPr>
                <w:b/>
              </w:rPr>
              <w:t>Comparison type</w:t>
            </w:r>
          </w:p>
        </w:tc>
        <w:tc>
          <w:tcPr>
            <w:tcW w:w="6095" w:type="dxa"/>
          </w:tcPr>
          <w:p w14:paraId="0DAFF601" w14:textId="47E047E4" w:rsidR="00272B11" w:rsidRPr="00FF37AB" w:rsidRDefault="00121975" w:rsidP="00F1368A">
            <w:pPr>
              <w:spacing w:before="100" w:beforeAutospacing="1"/>
              <w:jc w:val="both"/>
            </w:pPr>
            <w:r>
              <w:t xml:space="preserve">Supplementary </w:t>
            </w:r>
            <w:r w:rsidR="00272B11" w:rsidRPr="00FF37AB">
              <w:t xml:space="preserve">comparison </w:t>
            </w:r>
          </w:p>
        </w:tc>
      </w:tr>
      <w:tr w:rsidR="00272B11" w:rsidRPr="00FF37AB" w14:paraId="2611C92E" w14:textId="77777777" w:rsidTr="007E496F">
        <w:tc>
          <w:tcPr>
            <w:tcW w:w="2977" w:type="dxa"/>
          </w:tcPr>
          <w:p w14:paraId="08BD05D1" w14:textId="77777777" w:rsidR="00272B11" w:rsidRPr="00FF37AB" w:rsidRDefault="00272B11" w:rsidP="00F1368A">
            <w:pPr>
              <w:spacing w:before="100" w:beforeAutospacing="1"/>
              <w:jc w:val="right"/>
              <w:rPr>
                <w:b/>
              </w:rPr>
            </w:pPr>
            <w:r w:rsidRPr="00FF37AB">
              <w:rPr>
                <w:b/>
              </w:rPr>
              <w:t>Consultative Committee</w:t>
            </w:r>
          </w:p>
        </w:tc>
        <w:tc>
          <w:tcPr>
            <w:tcW w:w="6095" w:type="dxa"/>
          </w:tcPr>
          <w:p w14:paraId="5694D08E" w14:textId="77777777" w:rsidR="00272B11" w:rsidRPr="00FF37AB" w:rsidRDefault="00272B11" w:rsidP="00F1368A">
            <w:pPr>
              <w:spacing w:before="100" w:beforeAutospacing="1"/>
            </w:pPr>
            <w:r w:rsidRPr="00FF37AB">
              <w:t>CCEM (Consultative Committee for Electricity and Magnetism)</w:t>
            </w:r>
          </w:p>
        </w:tc>
      </w:tr>
      <w:tr w:rsidR="00272B11" w:rsidRPr="00FF37AB" w14:paraId="55792B01" w14:textId="77777777" w:rsidTr="007E496F">
        <w:tc>
          <w:tcPr>
            <w:tcW w:w="2977" w:type="dxa"/>
          </w:tcPr>
          <w:p w14:paraId="135FAB47" w14:textId="77777777" w:rsidR="00272B11" w:rsidRPr="00FF37AB" w:rsidRDefault="00272B11" w:rsidP="00F1368A">
            <w:pPr>
              <w:spacing w:before="100" w:beforeAutospacing="1"/>
              <w:jc w:val="right"/>
              <w:rPr>
                <w:b/>
              </w:rPr>
            </w:pPr>
            <w:r w:rsidRPr="00FF37AB">
              <w:rPr>
                <w:b/>
              </w:rPr>
              <w:t>Related regional metrology organizations</w:t>
            </w:r>
          </w:p>
        </w:tc>
        <w:tc>
          <w:tcPr>
            <w:tcW w:w="6095" w:type="dxa"/>
          </w:tcPr>
          <w:p w14:paraId="583A73CC" w14:textId="5CB6AF5C" w:rsidR="00272B11" w:rsidRPr="00FF37AB" w:rsidRDefault="00272B11" w:rsidP="00D946D7">
            <w:pPr>
              <w:spacing w:before="100" w:beforeAutospacing="1"/>
            </w:pPr>
            <w:r w:rsidRPr="00FF37AB">
              <w:t xml:space="preserve">EURAMET </w:t>
            </w:r>
            <w:r w:rsidRPr="00FF37AB">
              <w:br/>
            </w:r>
          </w:p>
        </w:tc>
      </w:tr>
    </w:tbl>
    <w:p w14:paraId="3F0C21F1" w14:textId="24374CF4" w:rsidR="00D50F83" w:rsidRPr="00121975" w:rsidRDefault="00121975" w:rsidP="00F91B3D">
      <w:pPr>
        <w:spacing w:before="120"/>
        <w:jc w:val="both"/>
        <w:rPr>
          <w:rFonts w:cs="Tahoma"/>
        </w:rPr>
      </w:pPr>
      <w:r>
        <w:rPr>
          <w:rFonts w:cs="Tahoma"/>
        </w:rPr>
        <w:t>The 200 kV reference dividers were built in 2014 for RISE, VTT, PTB, VSL and TUBITAK</w:t>
      </w:r>
      <w:r w:rsidRPr="00121975">
        <w:rPr>
          <w:rFonts w:cs="Tahoma"/>
        </w:rPr>
        <w:t xml:space="preserve"> </w:t>
      </w:r>
      <w:r>
        <w:rPr>
          <w:rFonts w:cs="Tahoma"/>
        </w:rPr>
        <w:t>as part of EMRP project HVDC. These divider</w:t>
      </w:r>
      <w:r w:rsidR="002B1330">
        <w:rPr>
          <w:rFonts w:cs="Tahoma"/>
        </w:rPr>
        <w:t>s</w:t>
      </w:r>
      <w:r>
        <w:rPr>
          <w:rFonts w:cs="Tahoma"/>
        </w:rPr>
        <w:t xml:space="preserve"> will be transported to RISE in February/March 2022 to compare their ratios and high voltage </w:t>
      </w:r>
      <w:r w:rsidR="002B1330">
        <w:rPr>
          <w:rFonts w:cs="Tahoma"/>
        </w:rPr>
        <w:t xml:space="preserve">arm </w:t>
      </w:r>
      <w:r>
        <w:rPr>
          <w:rFonts w:cs="Tahoma"/>
        </w:rPr>
        <w:t xml:space="preserve">resistances. </w:t>
      </w:r>
    </w:p>
    <w:p w14:paraId="5A0DBC38" w14:textId="4F0DECF1" w:rsidR="00CB16A4" w:rsidRDefault="00CB16A4" w:rsidP="00F91B3D">
      <w:pPr>
        <w:spacing w:before="120"/>
        <w:jc w:val="both"/>
        <w:rPr>
          <w:rFonts w:cs="Tahoma"/>
        </w:rPr>
      </w:pPr>
    </w:p>
    <w:p w14:paraId="2F19EC2B" w14:textId="4839F81C" w:rsidR="000A5985" w:rsidRDefault="00121975" w:rsidP="00E85E30">
      <w:pPr>
        <w:pStyle w:val="Heading1"/>
      </w:pPr>
      <w:r>
        <w:t>S</w:t>
      </w:r>
      <w:r w:rsidR="00EF30EE" w:rsidRPr="00E85E30">
        <w:t>tandards</w:t>
      </w:r>
    </w:p>
    <w:p w14:paraId="1085F03C" w14:textId="3D2DC318" w:rsidR="00C1072F" w:rsidRDefault="00863603" w:rsidP="00C1072F">
      <w:pPr>
        <w:spacing w:before="120"/>
        <w:jc w:val="both"/>
        <w:rPr>
          <w:rFonts w:cs="Tahoma"/>
        </w:rPr>
      </w:pPr>
      <w:r>
        <w:rPr>
          <w:rFonts w:cs="Tahoma"/>
        </w:rPr>
        <w:t xml:space="preserve">The </w:t>
      </w:r>
      <w:r w:rsidR="00121975">
        <w:rPr>
          <w:rFonts w:cs="Tahoma"/>
        </w:rPr>
        <w:t xml:space="preserve">standards </w:t>
      </w:r>
      <w:r w:rsidR="00072577">
        <w:rPr>
          <w:rFonts w:cs="Tahoma"/>
        </w:rPr>
        <w:t>to be compared are</w:t>
      </w:r>
      <w:r w:rsidR="00121975">
        <w:rPr>
          <w:rFonts w:cs="Tahoma"/>
        </w:rPr>
        <w:t xml:space="preserve"> identical 200 kV divider modules</w:t>
      </w:r>
      <w:r w:rsidR="00072577">
        <w:rPr>
          <w:rFonts w:cs="Tahoma"/>
        </w:rPr>
        <w:t xml:space="preserve"> shown in </w:t>
      </w:r>
      <w:r w:rsidR="00072577">
        <w:rPr>
          <w:rFonts w:cs="Tahoma"/>
        </w:rPr>
        <w:fldChar w:fldCharType="begin"/>
      </w:r>
      <w:r w:rsidR="00072577">
        <w:rPr>
          <w:rFonts w:cs="Tahoma"/>
        </w:rPr>
        <w:instrText xml:space="preserve"> REF _Ref96427560 \h </w:instrText>
      </w:r>
      <w:r w:rsidR="00072577">
        <w:rPr>
          <w:rFonts w:cs="Tahoma"/>
        </w:rPr>
      </w:r>
      <w:r w:rsidR="00072577">
        <w:rPr>
          <w:rFonts w:cs="Tahoma"/>
        </w:rPr>
        <w:fldChar w:fldCharType="separate"/>
      </w:r>
      <w:r w:rsidR="00072577">
        <w:t xml:space="preserve">Figure </w:t>
      </w:r>
      <w:r w:rsidR="00072577">
        <w:rPr>
          <w:noProof/>
        </w:rPr>
        <w:t>1</w:t>
      </w:r>
      <w:r w:rsidR="00072577">
        <w:rPr>
          <w:rFonts w:cs="Tahoma"/>
        </w:rPr>
        <w:fldChar w:fldCharType="end"/>
      </w:r>
      <w:r w:rsidR="00C1072F">
        <w:rPr>
          <w:rFonts w:cs="Tahoma"/>
        </w:rPr>
        <w:t>.</w:t>
      </w:r>
    </w:p>
    <w:p w14:paraId="1633DE37" w14:textId="00483575" w:rsidR="00892243" w:rsidRDefault="00892243" w:rsidP="00C1072F">
      <w:pPr>
        <w:spacing w:before="120"/>
        <w:jc w:val="both"/>
        <w:rPr>
          <w:rFonts w:cs="Tahoma"/>
        </w:rPr>
      </w:pPr>
    </w:p>
    <w:p w14:paraId="58FAC52D" w14:textId="77777777" w:rsidR="00072577" w:rsidRDefault="00121975" w:rsidP="00072577">
      <w:pPr>
        <w:keepNext/>
        <w:spacing w:before="120"/>
        <w:jc w:val="center"/>
      </w:pPr>
      <w:r>
        <w:rPr>
          <w:rFonts w:cs="Tahoma"/>
          <w:noProof/>
        </w:rPr>
        <w:lastRenderedPageBreak/>
        <w:drawing>
          <wp:inline distT="0" distB="0" distL="0" distR="0" wp14:anchorId="59559D8E" wp14:editId="6090AE0E">
            <wp:extent cx="4696669" cy="402336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9268" cy="4051286"/>
                    </a:xfrm>
                    <a:prstGeom prst="rect">
                      <a:avLst/>
                    </a:prstGeom>
                    <a:noFill/>
                  </pic:spPr>
                </pic:pic>
              </a:graphicData>
            </a:graphic>
          </wp:inline>
        </w:drawing>
      </w:r>
    </w:p>
    <w:p w14:paraId="276B45D0" w14:textId="0FB17F59" w:rsidR="00072577" w:rsidRPr="00072577" w:rsidRDefault="00072577" w:rsidP="00072577">
      <w:pPr>
        <w:pStyle w:val="Caption"/>
        <w:jc w:val="center"/>
        <w:rPr>
          <w:b w:val="0"/>
          <w:bCs w:val="0"/>
        </w:rPr>
      </w:pPr>
      <w:bookmarkStart w:id="0" w:name="_Ref96427560"/>
      <w:r>
        <w:t xml:space="preserve">Figure </w:t>
      </w:r>
      <w:r>
        <w:fldChar w:fldCharType="begin"/>
      </w:r>
      <w:r>
        <w:instrText xml:space="preserve"> SEQ Figure \* ARABIC </w:instrText>
      </w:r>
      <w:r>
        <w:fldChar w:fldCharType="separate"/>
      </w:r>
      <w:r>
        <w:rPr>
          <w:noProof/>
        </w:rPr>
        <w:t>1</w:t>
      </w:r>
      <w:r>
        <w:fldChar w:fldCharType="end"/>
      </w:r>
      <w:bookmarkEnd w:id="0"/>
      <w:r>
        <w:t xml:space="preserve"> </w:t>
      </w:r>
      <w:r w:rsidR="002B1330">
        <w:rPr>
          <w:b w:val="0"/>
          <w:bCs w:val="0"/>
        </w:rPr>
        <w:t>The five h</w:t>
      </w:r>
      <w:r w:rsidRPr="00072577">
        <w:rPr>
          <w:b w:val="0"/>
          <w:bCs w:val="0"/>
        </w:rPr>
        <w:t>igh voltage dividers</w:t>
      </w:r>
      <w:r w:rsidR="002B1330">
        <w:rPr>
          <w:b w:val="0"/>
          <w:bCs w:val="0"/>
        </w:rPr>
        <w:t xml:space="preserve"> to be compared (coloured). </w:t>
      </w:r>
    </w:p>
    <w:p w14:paraId="44C0B6BE" w14:textId="77777777" w:rsidR="006D4271" w:rsidRDefault="006D4271" w:rsidP="00C1072F">
      <w:pPr>
        <w:spacing w:before="120"/>
        <w:jc w:val="both"/>
        <w:rPr>
          <w:rFonts w:cs="Tahoma"/>
        </w:rPr>
      </w:pPr>
    </w:p>
    <w:p w14:paraId="56B4C9F0" w14:textId="6CD75157" w:rsidR="00072577" w:rsidRDefault="00072577" w:rsidP="00072577">
      <w:pPr>
        <w:spacing w:before="120"/>
        <w:jc w:val="both"/>
        <w:rPr>
          <w:rFonts w:cs="Tahoma"/>
        </w:rPr>
      </w:pPr>
      <w:r w:rsidRPr="00072577">
        <w:rPr>
          <w:rFonts w:cs="Tahoma"/>
        </w:rPr>
        <w:t xml:space="preserve">The outer diameter of </w:t>
      </w:r>
      <w:r w:rsidR="002B1330">
        <w:rPr>
          <w:rFonts w:cs="Tahoma"/>
        </w:rPr>
        <w:t>a</w:t>
      </w:r>
      <w:r w:rsidRPr="00072577">
        <w:rPr>
          <w:rFonts w:cs="Tahoma"/>
        </w:rPr>
        <w:t xml:space="preserve"> module is 480 mm, it is 1500 mm high, and it </w:t>
      </w:r>
      <w:r w:rsidR="002B1330" w:rsidRPr="00072577">
        <w:rPr>
          <w:rFonts w:cs="Tahoma"/>
        </w:rPr>
        <w:t>weighs</w:t>
      </w:r>
      <w:r w:rsidRPr="00072577">
        <w:rPr>
          <w:rFonts w:cs="Tahoma"/>
        </w:rPr>
        <w:t xml:space="preserve"> about 150 kg. The internal structure </w:t>
      </w:r>
      <w:r>
        <w:rPr>
          <w:rFonts w:cs="Tahoma"/>
        </w:rPr>
        <w:t xml:space="preserve">of the </w:t>
      </w:r>
      <w:r w:rsidRPr="00072577">
        <w:rPr>
          <w:rFonts w:cs="Tahoma"/>
        </w:rPr>
        <w:t xml:space="preserve">module </w:t>
      </w:r>
      <w:r>
        <w:rPr>
          <w:rFonts w:cs="Tahoma"/>
        </w:rPr>
        <w:t xml:space="preserve">is </w:t>
      </w:r>
      <w:r w:rsidRPr="00072577">
        <w:rPr>
          <w:rFonts w:cs="Tahoma"/>
        </w:rPr>
        <w:t>shown in</w:t>
      </w:r>
      <w:r>
        <w:rPr>
          <w:rFonts w:cs="Tahoma"/>
        </w:rPr>
        <w:t xml:space="preserve"> </w:t>
      </w:r>
      <w:r>
        <w:rPr>
          <w:rFonts w:cs="Tahoma"/>
        </w:rPr>
        <w:fldChar w:fldCharType="begin"/>
      </w:r>
      <w:r>
        <w:rPr>
          <w:rFonts w:cs="Tahoma"/>
        </w:rPr>
        <w:instrText xml:space="preserve"> REF _Ref96427645 \h </w:instrText>
      </w:r>
      <w:r>
        <w:rPr>
          <w:rFonts w:cs="Tahoma"/>
        </w:rPr>
      </w:r>
      <w:r>
        <w:rPr>
          <w:rFonts w:cs="Tahoma"/>
        </w:rPr>
        <w:fldChar w:fldCharType="separate"/>
      </w:r>
      <w:r>
        <w:t xml:space="preserve">Figure </w:t>
      </w:r>
      <w:r>
        <w:rPr>
          <w:noProof/>
        </w:rPr>
        <w:t>2</w:t>
      </w:r>
      <w:r>
        <w:rPr>
          <w:rFonts w:cs="Tahoma"/>
        </w:rPr>
        <w:fldChar w:fldCharType="end"/>
      </w:r>
      <w:r w:rsidRPr="00072577">
        <w:rPr>
          <w:rFonts w:cs="Tahoma"/>
        </w:rPr>
        <w:t>. The components are enclosed in an SF6 filled fiberglass tube. The top endplate houses a gas valve, pressure gauge and a feed-through for the reference divider signal. The bottom plate has a mating feed-through, so that the modules can be directly stacked and mounted on top of each other.</w:t>
      </w:r>
    </w:p>
    <w:p w14:paraId="455F782C" w14:textId="77777777" w:rsidR="00072577" w:rsidRDefault="00072577" w:rsidP="00072577">
      <w:pPr>
        <w:keepNext/>
        <w:spacing w:before="120"/>
        <w:jc w:val="center"/>
      </w:pPr>
      <w:r w:rsidRPr="00072577">
        <w:rPr>
          <w:rFonts w:cs="Tahoma"/>
          <w:noProof/>
        </w:rPr>
        <w:lastRenderedPageBreak/>
        <w:drawing>
          <wp:inline distT="0" distB="0" distL="0" distR="0" wp14:anchorId="1197575D" wp14:editId="460BCF39">
            <wp:extent cx="5760720" cy="37287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728720"/>
                    </a:xfrm>
                    <a:prstGeom prst="rect">
                      <a:avLst/>
                    </a:prstGeom>
                  </pic:spPr>
                </pic:pic>
              </a:graphicData>
            </a:graphic>
          </wp:inline>
        </w:drawing>
      </w:r>
    </w:p>
    <w:p w14:paraId="2F5D0B17" w14:textId="33830808" w:rsidR="00072577" w:rsidRDefault="00072577" w:rsidP="00072577">
      <w:pPr>
        <w:pStyle w:val="Caption"/>
        <w:jc w:val="center"/>
        <w:rPr>
          <w:rFonts w:cs="Tahoma"/>
        </w:rPr>
      </w:pPr>
      <w:bookmarkStart w:id="1" w:name="_Ref96427645"/>
      <w:r>
        <w:t xml:space="preserve">Figure </w:t>
      </w:r>
      <w:r>
        <w:fldChar w:fldCharType="begin"/>
      </w:r>
      <w:r>
        <w:instrText xml:space="preserve"> SEQ Figure \* ARABIC </w:instrText>
      </w:r>
      <w:r>
        <w:fldChar w:fldCharType="separate"/>
      </w:r>
      <w:r>
        <w:rPr>
          <w:noProof/>
        </w:rPr>
        <w:t>2</w:t>
      </w:r>
      <w:r>
        <w:fldChar w:fldCharType="end"/>
      </w:r>
      <w:bookmarkEnd w:id="1"/>
      <w:r>
        <w:t xml:space="preserve"> </w:t>
      </w:r>
      <w:r>
        <w:rPr>
          <w:b w:val="0"/>
          <w:bCs w:val="0"/>
        </w:rPr>
        <w:t xml:space="preserve"> Internal structure of the dividers</w:t>
      </w:r>
      <w:r w:rsidR="002B1330">
        <w:rPr>
          <w:b w:val="0"/>
          <w:bCs w:val="0"/>
        </w:rPr>
        <w:t xml:space="preserve">. The adjustments are </w:t>
      </w:r>
      <w:r w:rsidR="002B1330">
        <w:rPr>
          <w:b w:val="0"/>
          <w:bCs w:val="0"/>
        </w:rPr>
        <w:br/>
        <w:t>used to optimise the AC behaviour, when needed.</w:t>
      </w:r>
    </w:p>
    <w:p w14:paraId="137CA9CE" w14:textId="77777777" w:rsidR="00072577" w:rsidRPr="00072577" w:rsidRDefault="00072577" w:rsidP="00072577">
      <w:pPr>
        <w:spacing w:before="120"/>
        <w:jc w:val="both"/>
        <w:rPr>
          <w:rFonts w:cs="Tahoma"/>
        </w:rPr>
      </w:pPr>
    </w:p>
    <w:p w14:paraId="37472739" w14:textId="323BD039" w:rsidR="007A177F" w:rsidRDefault="007A177F" w:rsidP="00272B11">
      <w:pPr>
        <w:pStyle w:val="Heading1"/>
      </w:pPr>
      <w:r w:rsidRPr="00E85E30">
        <w:t>Measurement</w:t>
      </w:r>
      <w:r>
        <w:t xml:space="preserve"> </w:t>
      </w:r>
      <w:r w:rsidR="00142F10">
        <w:t>methods</w:t>
      </w:r>
    </w:p>
    <w:p w14:paraId="4E4800C5" w14:textId="77777777" w:rsidR="008230E7" w:rsidRDefault="00B90E98" w:rsidP="002E4397">
      <w:pPr>
        <w:pStyle w:val="Heading2"/>
        <w:rPr>
          <w:rFonts w:cs="Tahoma"/>
          <w:lang w:val="en-GB"/>
        </w:rPr>
      </w:pPr>
      <w:r>
        <w:rPr>
          <w:rFonts w:cs="Tahoma"/>
          <w:lang w:val="en-GB"/>
        </w:rPr>
        <w:t>General</w:t>
      </w:r>
    </w:p>
    <w:p w14:paraId="3B52639A" w14:textId="12098D73" w:rsidR="00EA518C" w:rsidRDefault="00C72F33" w:rsidP="00072577">
      <w:pPr>
        <w:jc w:val="both"/>
      </w:pPr>
      <w:r>
        <w:t xml:space="preserve">Participants shall </w:t>
      </w:r>
      <w:r w:rsidR="00072577">
        <w:t>define the scale factor (ratio) and the resistance of the reference branch high voltage resistor of their divider</w:t>
      </w:r>
      <w:r w:rsidRPr="00C72F33">
        <w:t xml:space="preserve"> using existing home laboratory procedure</w:t>
      </w:r>
      <w:r>
        <w:t>s</w:t>
      </w:r>
      <w:r w:rsidR="00072577">
        <w:t xml:space="preserve"> before sending the divider for comparison measurements at RISE</w:t>
      </w:r>
      <w:r w:rsidRPr="00C72F33">
        <w:t>.</w:t>
      </w:r>
      <w:r w:rsidR="007170FF">
        <w:t xml:space="preserve"> </w:t>
      </w:r>
      <w:r w:rsidR="00B70796">
        <w:rPr>
          <w:rFonts w:cs="Tahoma"/>
          <w:lang w:val="en-US"/>
        </w:rPr>
        <w:t xml:space="preserve">Each </w:t>
      </w:r>
      <w:r w:rsidR="00072577">
        <w:rPr>
          <w:rFonts w:cs="Tahoma"/>
        </w:rPr>
        <w:t xml:space="preserve">participant </w:t>
      </w:r>
      <w:r w:rsidR="00B70796">
        <w:rPr>
          <w:rFonts w:cs="Tahoma"/>
          <w:lang w:val="en-US"/>
        </w:rPr>
        <w:t xml:space="preserve">shall </w:t>
      </w:r>
      <w:r w:rsidR="00072577">
        <w:rPr>
          <w:rFonts w:cs="Tahoma"/>
        </w:rPr>
        <w:t xml:space="preserve">repeat their home calibration after the divider </w:t>
      </w:r>
      <w:r w:rsidR="002B1330">
        <w:rPr>
          <w:rFonts w:cs="Tahoma"/>
        </w:rPr>
        <w:t>has</w:t>
      </w:r>
      <w:r w:rsidR="00072577">
        <w:rPr>
          <w:rFonts w:cs="Tahoma"/>
        </w:rPr>
        <w:t xml:space="preserve"> returned after comparison. </w:t>
      </w:r>
    </w:p>
    <w:p w14:paraId="74EAEE1B" w14:textId="5CE96D54" w:rsidR="00961EFD" w:rsidRPr="002D58A7" w:rsidRDefault="009B5386" w:rsidP="008E6702">
      <w:pPr>
        <w:jc w:val="both"/>
        <w:rPr>
          <w:lang w:val="en-US"/>
        </w:rPr>
      </w:pPr>
      <w:bookmarkStart w:id="2" w:name="_Ref281921285"/>
      <w:r>
        <w:rPr>
          <w:lang w:val="en-US"/>
        </w:rPr>
        <w:t xml:space="preserve"> </w:t>
      </w:r>
    </w:p>
    <w:p w14:paraId="15721897" w14:textId="35A4C25B" w:rsidR="00B26359" w:rsidRDefault="00FE4A46" w:rsidP="00FE4A46">
      <w:pPr>
        <w:pStyle w:val="Heading1"/>
      </w:pPr>
      <w:r>
        <w:t>Quantities to be measured</w:t>
      </w:r>
      <w:r w:rsidR="00B964A9">
        <w:t xml:space="preserve"> </w:t>
      </w:r>
    </w:p>
    <w:p w14:paraId="57253A5D" w14:textId="6CAEECD0" w:rsidR="002B1330" w:rsidRDefault="002B1330" w:rsidP="002B1330">
      <w:pPr>
        <w:pStyle w:val="ListParagraph"/>
        <w:numPr>
          <w:ilvl w:val="0"/>
          <w:numId w:val="12"/>
        </w:numPr>
      </w:pPr>
      <w:r>
        <w:t xml:space="preserve">The </w:t>
      </w:r>
      <w:r w:rsidR="008E6702" w:rsidRPr="002B1330">
        <w:t xml:space="preserve">DC ratio of the divider, </w:t>
      </w:r>
      <w:r>
        <w:t xml:space="preserve">with nominal value of 20000; </w:t>
      </w:r>
      <w:r w:rsidR="008E6702" w:rsidRPr="002B1330">
        <w:t xml:space="preserve">and </w:t>
      </w:r>
    </w:p>
    <w:p w14:paraId="28155418" w14:textId="541566A4" w:rsidR="005F6EC9" w:rsidRPr="002B1330" w:rsidRDefault="009E53F4" w:rsidP="002B1330">
      <w:pPr>
        <w:pStyle w:val="ListParagraph"/>
        <w:numPr>
          <w:ilvl w:val="0"/>
          <w:numId w:val="12"/>
        </w:numPr>
      </w:pPr>
      <w:r w:rsidRPr="0080060E">
        <w:rPr>
          <w:lang w:val="en-US"/>
        </w:rPr>
        <w:t>T</w:t>
      </w:r>
      <w:r w:rsidR="008E6702" w:rsidRPr="002B1330">
        <w:t>he resistance of the high voltage reference branch resistor</w:t>
      </w:r>
      <w:r w:rsidR="002B1330">
        <w:t>, with nominal value of 2 GΩ</w:t>
      </w:r>
      <w:r w:rsidR="008E6702" w:rsidRPr="002B1330">
        <w:t>.</w:t>
      </w:r>
    </w:p>
    <w:p w14:paraId="6D9CA0FB" w14:textId="77777777" w:rsidR="00C6140D" w:rsidRDefault="00C6140D" w:rsidP="005F6EC9"/>
    <w:p w14:paraId="26724DD5" w14:textId="3443CC49" w:rsidR="00FE4A46" w:rsidRPr="00FE4A46" w:rsidRDefault="00FE4A46" w:rsidP="00A20E40">
      <w:pPr>
        <w:pStyle w:val="Heading2"/>
        <w:numPr>
          <w:ilvl w:val="1"/>
          <w:numId w:val="4"/>
        </w:numPr>
        <w:rPr>
          <w:rFonts w:cs="Tahoma"/>
          <w:lang w:val="en-GB"/>
        </w:rPr>
      </w:pPr>
      <w:r w:rsidRPr="00FE4A46">
        <w:rPr>
          <w:rFonts w:cs="Tahoma"/>
          <w:lang w:val="en-GB"/>
        </w:rPr>
        <w:t>Ambient</w:t>
      </w:r>
      <w:r w:rsidR="002B1330">
        <w:rPr>
          <w:rFonts w:cs="Tahoma"/>
        </w:rPr>
        <w:t xml:space="preserve"> conditions</w:t>
      </w:r>
    </w:p>
    <w:p w14:paraId="0A209D67" w14:textId="0A8EF554" w:rsidR="00FE4A46" w:rsidRDefault="00FE4A46" w:rsidP="00FE4A46">
      <w:pPr>
        <w:spacing w:before="120"/>
        <w:jc w:val="both"/>
        <w:rPr>
          <w:rFonts w:cs="Tahoma"/>
        </w:rPr>
      </w:pPr>
      <w:r>
        <w:rPr>
          <w:rFonts w:cs="Tahoma"/>
        </w:rPr>
        <w:t>Ambient conditions</w:t>
      </w:r>
      <w:r w:rsidR="008E6702">
        <w:rPr>
          <w:rFonts w:cs="Tahoma"/>
        </w:rPr>
        <w:t xml:space="preserve"> shall be reported for each home calibration (before and after measurements at RISE), and for measurements at RISE. Recorded temperature values will be used for correcting the final </w:t>
      </w:r>
      <w:r w:rsidR="0080060E">
        <w:rPr>
          <w:rFonts w:cs="Tahoma"/>
        </w:rPr>
        <w:t xml:space="preserve">report </w:t>
      </w:r>
      <w:r w:rsidR="008E6702">
        <w:rPr>
          <w:rFonts w:cs="Tahoma"/>
        </w:rPr>
        <w:t>results to reflect performance at</w:t>
      </w:r>
      <w:r w:rsidR="007E496F">
        <w:rPr>
          <w:rFonts w:cs="Tahoma"/>
        </w:rPr>
        <w:t xml:space="preserve"> </w:t>
      </w:r>
      <w:proofErr w:type="gramStart"/>
      <w:r w:rsidR="007E496F">
        <w:rPr>
          <w:rFonts w:cs="Tahoma"/>
        </w:rPr>
        <w:t>e.g.</w:t>
      </w:r>
      <w:proofErr w:type="gramEnd"/>
      <w:r w:rsidR="008E6702">
        <w:rPr>
          <w:rFonts w:cs="Tahoma"/>
        </w:rPr>
        <w:t xml:space="preserve"> </w:t>
      </w:r>
      <w:r w:rsidRPr="007E496F">
        <w:rPr>
          <w:rFonts w:cs="Tahoma"/>
        </w:rPr>
        <w:t>2</w:t>
      </w:r>
      <w:r w:rsidR="009E53F4" w:rsidRPr="007E496F">
        <w:rPr>
          <w:rFonts w:cs="Tahoma"/>
        </w:rPr>
        <w:t>2</w:t>
      </w:r>
      <w:r w:rsidRPr="007E496F">
        <w:rPr>
          <w:rFonts w:cs="Tahoma"/>
        </w:rPr>
        <w:t>.0</w:t>
      </w:r>
      <w:r w:rsidR="002B1330">
        <w:rPr>
          <w:rFonts w:cs="Tahoma"/>
        </w:rPr>
        <w:t> </w:t>
      </w:r>
      <w:r>
        <w:rPr>
          <w:rFonts w:ascii="Arial" w:hAnsi="Arial" w:cs="Arial"/>
        </w:rPr>
        <w:t>°</w:t>
      </w:r>
      <w:r>
        <w:rPr>
          <w:rFonts w:cs="Tahoma"/>
        </w:rPr>
        <w:t>C</w:t>
      </w:r>
      <w:r w:rsidR="008E6702">
        <w:rPr>
          <w:rFonts w:cs="Tahoma"/>
        </w:rPr>
        <w:t>.</w:t>
      </w:r>
      <w:r>
        <w:rPr>
          <w:rFonts w:cs="Tahoma"/>
        </w:rPr>
        <w:t xml:space="preserve"> </w:t>
      </w:r>
      <w:r w:rsidR="008E6702">
        <w:rPr>
          <w:rFonts w:cs="Tahoma"/>
        </w:rPr>
        <w:t>H</w:t>
      </w:r>
      <w:r>
        <w:rPr>
          <w:rFonts w:cs="Tahoma"/>
        </w:rPr>
        <w:t xml:space="preserve">umidity </w:t>
      </w:r>
      <w:r w:rsidR="002B1330">
        <w:rPr>
          <w:rFonts w:cs="Tahoma"/>
        </w:rPr>
        <w:t>does</w:t>
      </w:r>
      <w:r w:rsidR="008E6702">
        <w:rPr>
          <w:rFonts w:cs="Tahoma"/>
        </w:rPr>
        <w:t xml:space="preserve"> </w:t>
      </w:r>
      <w:r>
        <w:rPr>
          <w:rFonts w:cs="Tahoma"/>
        </w:rPr>
        <w:t>not</w:t>
      </w:r>
      <w:r w:rsidR="002B1330">
        <w:rPr>
          <w:rFonts w:cs="Tahoma"/>
        </w:rPr>
        <w:t xml:space="preserve"> have to be</w:t>
      </w:r>
      <w:r>
        <w:rPr>
          <w:rFonts w:cs="Tahoma"/>
        </w:rPr>
        <w:t xml:space="preserve"> controlled, but </w:t>
      </w:r>
      <w:r w:rsidR="002B1330">
        <w:rPr>
          <w:rFonts w:cs="Tahoma"/>
        </w:rPr>
        <w:t>shall</w:t>
      </w:r>
      <w:r w:rsidR="008E6702">
        <w:rPr>
          <w:rFonts w:cs="Tahoma"/>
        </w:rPr>
        <w:t xml:space="preserve"> be </w:t>
      </w:r>
      <w:r>
        <w:rPr>
          <w:rFonts w:cs="Tahoma"/>
        </w:rPr>
        <w:t>reported.</w:t>
      </w:r>
    </w:p>
    <w:p w14:paraId="204334AA" w14:textId="28AAB859" w:rsidR="00FE4A46" w:rsidRDefault="00FE4A46" w:rsidP="00FE4A46">
      <w:pPr>
        <w:pStyle w:val="BodyText2"/>
        <w:tabs>
          <w:tab w:val="left" w:pos="851"/>
        </w:tabs>
        <w:spacing w:before="120"/>
        <w:jc w:val="both"/>
        <w:rPr>
          <w:rFonts w:cs="Tahoma"/>
          <w:sz w:val="22"/>
          <w:szCs w:val="22"/>
        </w:rPr>
      </w:pPr>
      <w:r w:rsidRPr="00645412">
        <w:rPr>
          <w:rFonts w:cs="Tahoma"/>
          <w:sz w:val="22"/>
          <w:szCs w:val="22"/>
        </w:rPr>
        <w:t xml:space="preserve">The </w:t>
      </w:r>
      <w:r w:rsidR="008E6702">
        <w:rPr>
          <w:rFonts w:cs="Tahoma"/>
          <w:sz w:val="22"/>
          <w:szCs w:val="22"/>
        </w:rPr>
        <w:t xml:space="preserve">dividers </w:t>
      </w:r>
      <w:r w:rsidRPr="00645412">
        <w:rPr>
          <w:rFonts w:cs="Tahoma"/>
          <w:sz w:val="22"/>
          <w:szCs w:val="22"/>
        </w:rPr>
        <w:t>must be</w:t>
      </w:r>
      <w:r>
        <w:rPr>
          <w:rFonts w:cs="Tahoma"/>
          <w:sz w:val="22"/>
          <w:szCs w:val="22"/>
        </w:rPr>
        <w:t xml:space="preserve"> acclimatized </w:t>
      </w:r>
      <w:r w:rsidRPr="00645412">
        <w:rPr>
          <w:rFonts w:cs="Tahoma"/>
          <w:sz w:val="22"/>
          <w:szCs w:val="22"/>
        </w:rPr>
        <w:t xml:space="preserve">for </w:t>
      </w:r>
      <w:r w:rsidR="00CF4734">
        <w:rPr>
          <w:rFonts w:cs="Tahoma"/>
          <w:sz w:val="22"/>
          <w:szCs w:val="22"/>
        </w:rPr>
        <w:t xml:space="preserve">a suitable duration (not less than </w:t>
      </w:r>
      <w:r w:rsidR="008E6702">
        <w:rPr>
          <w:rFonts w:cs="Tahoma"/>
          <w:sz w:val="22"/>
          <w:szCs w:val="22"/>
        </w:rPr>
        <w:t>7 days</w:t>
      </w:r>
      <w:r w:rsidR="00CF4734">
        <w:rPr>
          <w:rFonts w:cs="Tahoma"/>
          <w:sz w:val="22"/>
          <w:szCs w:val="22"/>
        </w:rPr>
        <w:t>)</w:t>
      </w:r>
      <w:r w:rsidRPr="00645412">
        <w:rPr>
          <w:rFonts w:cs="Tahoma"/>
          <w:sz w:val="22"/>
          <w:szCs w:val="22"/>
        </w:rPr>
        <w:t xml:space="preserve"> in the laboratory before the measurements </w:t>
      </w:r>
      <w:proofErr w:type="gramStart"/>
      <w:r w:rsidRPr="00645412">
        <w:rPr>
          <w:rFonts w:cs="Tahoma"/>
          <w:sz w:val="22"/>
          <w:szCs w:val="22"/>
        </w:rPr>
        <w:t>in order to</w:t>
      </w:r>
      <w:proofErr w:type="gramEnd"/>
      <w:r w:rsidRPr="00645412">
        <w:rPr>
          <w:rFonts w:cs="Tahoma"/>
          <w:sz w:val="22"/>
          <w:szCs w:val="22"/>
        </w:rPr>
        <w:t xml:space="preserve"> reach stable temperature. </w:t>
      </w:r>
    </w:p>
    <w:p w14:paraId="4DCA822C" w14:textId="500C5F9D" w:rsidR="0094230B" w:rsidRPr="00F429D0" w:rsidRDefault="0094230B" w:rsidP="00C1072F">
      <w:pPr>
        <w:rPr>
          <w:lang w:val="en-US"/>
        </w:rPr>
      </w:pPr>
    </w:p>
    <w:p w14:paraId="16CC9393" w14:textId="78EEB732" w:rsidR="00E10C70" w:rsidRPr="00F429D0" w:rsidRDefault="008E6702" w:rsidP="00A20E40">
      <w:pPr>
        <w:pStyle w:val="Heading2"/>
        <w:numPr>
          <w:ilvl w:val="1"/>
          <w:numId w:val="4"/>
        </w:numPr>
      </w:pPr>
      <w:bookmarkStart w:id="3" w:name="_Ref96435877"/>
      <w:r>
        <w:lastRenderedPageBreak/>
        <w:t>HVDC ratio</w:t>
      </w:r>
      <w:bookmarkEnd w:id="3"/>
    </w:p>
    <w:p w14:paraId="34E81AE2" w14:textId="160638D2" w:rsidR="0055490F" w:rsidRDefault="0055490F" w:rsidP="0055490F">
      <w:pPr>
        <w:jc w:val="both"/>
        <w:rPr>
          <w:rFonts w:cs="Tahoma"/>
          <w:lang w:val="en-US"/>
        </w:rPr>
      </w:pPr>
      <w:r w:rsidRPr="002D58A7">
        <w:rPr>
          <w:rFonts w:cs="Tahoma"/>
          <w:lang w:val="en-US"/>
        </w:rPr>
        <w:t xml:space="preserve">The </w:t>
      </w:r>
      <w:r w:rsidR="008E6702">
        <w:rPr>
          <w:rFonts w:cs="Tahoma"/>
        </w:rPr>
        <w:t xml:space="preserve">scale factor (ratio) of the dividers will be compared </w:t>
      </w:r>
      <w:r w:rsidR="00FA5A8C">
        <w:rPr>
          <w:rFonts w:cs="Tahoma"/>
        </w:rPr>
        <w:t xml:space="preserve">at RISE </w:t>
      </w:r>
      <w:r w:rsidR="008E6702">
        <w:rPr>
          <w:rFonts w:cs="Tahoma"/>
        </w:rPr>
        <w:t xml:space="preserve">on the voltage levels shown in </w:t>
      </w:r>
      <w:r w:rsidR="00FA5A8C">
        <w:rPr>
          <w:rFonts w:cs="Tahoma"/>
        </w:rPr>
        <w:fldChar w:fldCharType="begin"/>
      </w:r>
      <w:r w:rsidR="00FA5A8C">
        <w:rPr>
          <w:rFonts w:cs="Tahoma"/>
        </w:rPr>
        <w:instrText xml:space="preserve"> REF _Ref96428516 \h </w:instrText>
      </w:r>
      <w:r w:rsidR="00FA5A8C">
        <w:rPr>
          <w:rFonts w:cs="Tahoma"/>
        </w:rPr>
      </w:r>
      <w:r w:rsidR="00FA5A8C">
        <w:rPr>
          <w:rFonts w:cs="Tahoma"/>
        </w:rPr>
        <w:fldChar w:fldCharType="separate"/>
      </w:r>
      <w:r w:rsidR="00FA5A8C">
        <w:t>Table </w:t>
      </w:r>
      <w:r w:rsidR="00FA5A8C">
        <w:rPr>
          <w:noProof/>
        </w:rPr>
        <w:t>1</w:t>
      </w:r>
      <w:r w:rsidR="00FA5A8C">
        <w:rPr>
          <w:rFonts w:cs="Tahoma"/>
        </w:rPr>
        <w:fldChar w:fldCharType="end"/>
      </w:r>
      <w:r w:rsidRPr="002D58A7">
        <w:rPr>
          <w:rFonts w:cs="Tahoma"/>
          <w:lang w:val="en-US"/>
        </w:rPr>
        <w:t>.</w:t>
      </w:r>
    </w:p>
    <w:p w14:paraId="4DFC9DEB" w14:textId="4012C635" w:rsidR="008E6702" w:rsidRDefault="008E6702" w:rsidP="008E6702">
      <w:pPr>
        <w:pStyle w:val="Caption"/>
        <w:keepNext/>
        <w:jc w:val="center"/>
      </w:pPr>
      <w:bookmarkStart w:id="4" w:name="_Ref96428516"/>
      <w:r>
        <w:t>Table</w:t>
      </w:r>
      <w:r w:rsidR="00FA5A8C">
        <w:t> </w:t>
      </w:r>
      <w:r>
        <w:fldChar w:fldCharType="begin"/>
      </w:r>
      <w:r>
        <w:instrText xml:space="preserve"> SEQ Table \* ARABIC </w:instrText>
      </w:r>
      <w:r>
        <w:fldChar w:fldCharType="separate"/>
      </w:r>
      <w:r>
        <w:rPr>
          <w:noProof/>
        </w:rPr>
        <w:t>1</w:t>
      </w:r>
      <w:r>
        <w:fldChar w:fldCharType="end"/>
      </w:r>
      <w:bookmarkEnd w:id="4"/>
      <w:r>
        <w:rPr>
          <w:b w:val="0"/>
          <w:bCs w:val="0"/>
        </w:rPr>
        <w:t xml:space="preserve"> Voltages for ratio comparison</w:t>
      </w:r>
    </w:p>
    <w:tbl>
      <w:tblPr>
        <w:tblStyle w:val="TableGrid"/>
        <w:tblW w:w="0" w:type="auto"/>
        <w:jc w:val="center"/>
        <w:tblLook w:val="04A0" w:firstRow="1" w:lastRow="0" w:firstColumn="1" w:lastColumn="0" w:noHBand="0" w:noVBand="1"/>
      </w:tblPr>
      <w:tblGrid>
        <w:gridCol w:w="2265"/>
      </w:tblGrid>
      <w:tr w:rsidR="008E6702" w14:paraId="766C48F9" w14:textId="77777777" w:rsidTr="0066734A">
        <w:trPr>
          <w:jc w:val="center"/>
        </w:trPr>
        <w:tc>
          <w:tcPr>
            <w:tcW w:w="2265" w:type="dxa"/>
            <w:tcBorders>
              <w:bottom w:val="single" w:sz="12" w:space="0" w:color="auto"/>
            </w:tcBorders>
          </w:tcPr>
          <w:p w14:paraId="09974E02" w14:textId="3AAE9AF4" w:rsidR="008E6702" w:rsidRPr="00B41FC5" w:rsidRDefault="008E6702" w:rsidP="008E6702">
            <w:pPr>
              <w:jc w:val="center"/>
              <w:rPr>
                <w:lang w:val="en-US"/>
              </w:rPr>
            </w:pPr>
            <w:r>
              <w:rPr>
                <w:lang w:val="en-US"/>
              </w:rPr>
              <w:t xml:space="preserve">Nominal </w:t>
            </w:r>
            <w:r>
              <w:t>voltage</w:t>
            </w:r>
            <w:r>
              <w:rPr>
                <w:lang w:val="en-US"/>
              </w:rPr>
              <w:t xml:space="preserve"> [</w:t>
            </w:r>
            <w:r>
              <w:t>kV</w:t>
            </w:r>
            <w:r>
              <w:rPr>
                <w:lang w:val="en-US"/>
              </w:rPr>
              <w:t>]</w:t>
            </w:r>
          </w:p>
        </w:tc>
      </w:tr>
      <w:tr w:rsidR="008E6702" w14:paraId="5F16C2B7" w14:textId="77777777" w:rsidTr="0066734A">
        <w:trPr>
          <w:jc w:val="center"/>
        </w:trPr>
        <w:tc>
          <w:tcPr>
            <w:tcW w:w="2265" w:type="dxa"/>
            <w:tcBorders>
              <w:top w:val="single" w:sz="12" w:space="0" w:color="auto"/>
            </w:tcBorders>
          </w:tcPr>
          <w:p w14:paraId="33386A0D" w14:textId="2EFA1600" w:rsidR="008E6702" w:rsidRPr="008E6702" w:rsidRDefault="008E6702" w:rsidP="008E6702">
            <w:pPr>
              <w:jc w:val="center"/>
            </w:pPr>
            <w:r>
              <w:t>1</w:t>
            </w:r>
          </w:p>
        </w:tc>
      </w:tr>
      <w:tr w:rsidR="008E6702" w14:paraId="36EBD67E" w14:textId="77777777" w:rsidTr="0066734A">
        <w:trPr>
          <w:jc w:val="center"/>
        </w:trPr>
        <w:tc>
          <w:tcPr>
            <w:tcW w:w="2265" w:type="dxa"/>
          </w:tcPr>
          <w:p w14:paraId="0738CEB6" w14:textId="2CD1674D" w:rsidR="008E6702" w:rsidRPr="008E6702" w:rsidRDefault="008E6702" w:rsidP="008E6702">
            <w:pPr>
              <w:jc w:val="center"/>
            </w:pPr>
            <w:r>
              <w:t>10</w:t>
            </w:r>
          </w:p>
        </w:tc>
      </w:tr>
      <w:tr w:rsidR="008E6702" w14:paraId="0EE447FF" w14:textId="77777777" w:rsidTr="0066734A">
        <w:trPr>
          <w:jc w:val="center"/>
        </w:trPr>
        <w:tc>
          <w:tcPr>
            <w:tcW w:w="2265" w:type="dxa"/>
          </w:tcPr>
          <w:p w14:paraId="109066F5" w14:textId="6F948ABF" w:rsidR="008E6702" w:rsidRPr="008E6702" w:rsidRDefault="008E6702" w:rsidP="008E6702">
            <w:pPr>
              <w:jc w:val="center"/>
            </w:pPr>
            <w:r>
              <w:t>100</w:t>
            </w:r>
          </w:p>
        </w:tc>
      </w:tr>
      <w:tr w:rsidR="008E6702" w14:paraId="1DD5BAB3" w14:textId="77777777" w:rsidTr="0066734A">
        <w:trPr>
          <w:jc w:val="center"/>
        </w:trPr>
        <w:tc>
          <w:tcPr>
            <w:tcW w:w="2265" w:type="dxa"/>
          </w:tcPr>
          <w:p w14:paraId="66AAC3CC" w14:textId="58187A7D" w:rsidR="008E6702" w:rsidRPr="008E6702" w:rsidRDefault="008E6702" w:rsidP="008E6702">
            <w:pPr>
              <w:jc w:val="center"/>
            </w:pPr>
            <w:r>
              <w:t>200</w:t>
            </w:r>
          </w:p>
        </w:tc>
      </w:tr>
      <w:tr w:rsidR="008E6702" w14:paraId="32498904" w14:textId="77777777" w:rsidTr="0066734A">
        <w:trPr>
          <w:jc w:val="center"/>
        </w:trPr>
        <w:tc>
          <w:tcPr>
            <w:tcW w:w="2265" w:type="dxa"/>
          </w:tcPr>
          <w:p w14:paraId="2B682684" w14:textId="294D203B" w:rsidR="008E6702" w:rsidRPr="008E6702" w:rsidRDefault="008E6702" w:rsidP="008E6702">
            <w:pPr>
              <w:jc w:val="center"/>
            </w:pPr>
            <w:r>
              <w:t>-200</w:t>
            </w:r>
          </w:p>
        </w:tc>
      </w:tr>
    </w:tbl>
    <w:p w14:paraId="4AD989F3" w14:textId="77777777" w:rsidR="00A41EE0" w:rsidRDefault="00A41EE0" w:rsidP="00C1072F">
      <w:pPr>
        <w:rPr>
          <w:lang w:val="en-US"/>
        </w:rPr>
      </w:pPr>
    </w:p>
    <w:p w14:paraId="353DB23C" w14:textId="77777777" w:rsidR="00FA5A8C" w:rsidRPr="00104AF9" w:rsidRDefault="00FA5A8C" w:rsidP="00FA5A8C">
      <w:pPr>
        <w:jc w:val="both"/>
      </w:pPr>
      <w:r w:rsidRPr="00104AF9">
        <w:t xml:space="preserve">The comparison at RISE will be performed by connecting two or several dividers in parallel to measure the high voltage. The output of each divider will be measured using calibrated 3458A multimeter(s). </w:t>
      </w:r>
    </w:p>
    <w:p w14:paraId="2C655569" w14:textId="77777777" w:rsidR="006A2B80" w:rsidRDefault="006A2B80" w:rsidP="00C1072F">
      <w:pPr>
        <w:rPr>
          <w:lang w:val="en-US"/>
        </w:rPr>
      </w:pPr>
    </w:p>
    <w:p w14:paraId="104EB69A" w14:textId="283B2976" w:rsidR="00FA5A8C" w:rsidRPr="00FA5A8C" w:rsidRDefault="00FA5A8C" w:rsidP="00FA5A8C">
      <w:pPr>
        <w:pStyle w:val="Heading2"/>
        <w:numPr>
          <w:ilvl w:val="1"/>
          <w:numId w:val="4"/>
        </w:numPr>
      </w:pPr>
      <w:bookmarkStart w:id="5" w:name="_Ref96435890"/>
      <w:r>
        <w:t>High voltage arm resistance</w:t>
      </w:r>
      <w:bookmarkEnd w:id="5"/>
    </w:p>
    <w:bookmarkEnd w:id="2"/>
    <w:p w14:paraId="2F4956C3" w14:textId="0AAAC15B" w:rsidR="00AF02F0" w:rsidRDefault="00FA5A8C" w:rsidP="0044607E">
      <w:pPr>
        <w:pStyle w:val="Listnumbered"/>
        <w:numPr>
          <w:ilvl w:val="0"/>
          <w:numId w:val="0"/>
        </w:numPr>
        <w:spacing w:after="120"/>
        <w:rPr>
          <w:lang w:val="en-US"/>
        </w:rPr>
      </w:pPr>
      <w:r>
        <w:t>The high voltage arm resistance of each divider will be separately measured at RISE at 1 kV using voltage</w:t>
      </w:r>
      <w:r w:rsidR="0080060E">
        <w:t xml:space="preserve"> </w:t>
      </w:r>
      <w:r w:rsidR="009E53F4" w:rsidRPr="0080060E">
        <w:rPr>
          <w:lang w:val="en-US"/>
        </w:rPr>
        <w:t>br</w:t>
      </w:r>
      <w:r w:rsidR="009E53F4">
        <w:rPr>
          <w:lang w:val="en-US"/>
        </w:rPr>
        <w:t>idge</w:t>
      </w:r>
      <w:r>
        <w:t xml:space="preserve"> method. </w:t>
      </w:r>
    </w:p>
    <w:p w14:paraId="7AE3411B" w14:textId="77777777" w:rsidR="00992019" w:rsidRDefault="00992019" w:rsidP="00992019">
      <w:pPr>
        <w:pStyle w:val="ListParagraph"/>
        <w:rPr>
          <w:rFonts w:cs="Tahoma"/>
        </w:rPr>
      </w:pPr>
    </w:p>
    <w:p w14:paraId="1A074EAB" w14:textId="1DCFFBF2" w:rsidR="002A5E76" w:rsidRPr="00104AF9" w:rsidRDefault="002A5E76" w:rsidP="002A5E76">
      <w:pPr>
        <w:pStyle w:val="Heading1"/>
      </w:pPr>
      <w:bookmarkStart w:id="6" w:name="_Ref96436028"/>
      <w:r w:rsidRPr="00104AF9">
        <w:t>Measurement report</w:t>
      </w:r>
      <w:r w:rsidR="00D95A02" w:rsidRPr="00104AF9">
        <w:t>ing</w:t>
      </w:r>
      <w:bookmarkEnd w:id="6"/>
    </w:p>
    <w:p w14:paraId="2F6B649A" w14:textId="3CFB4F67" w:rsidR="00FA5A8C" w:rsidRPr="00104AF9" w:rsidRDefault="00FA5A8C" w:rsidP="00FA5A8C">
      <w:pPr>
        <w:pStyle w:val="Heading2"/>
        <w:numPr>
          <w:ilvl w:val="1"/>
          <w:numId w:val="4"/>
        </w:numPr>
      </w:pPr>
      <w:bookmarkStart w:id="7" w:name="_Ref96429422"/>
      <w:r w:rsidRPr="00104AF9">
        <w:t>Before RISE comparison measurements</w:t>
      </w:r>
      <w:bookmarkEnd w:id="7"/>
    </w:p>
    <w:p w14:paraId="0C8BF07C" w14:textId="6A662FE1" w:rsidR="009A22F7" w:rsidRPr="00104AF9" w:rsidRDefault="00FA5A8C" w:rsidP="009A22F7">
      <w:pPr>
        <w:spacing w:before="120"/>
        <w:jc w:val="both"/>
      </w:pPr>
      <w:r w:rsidRPr="00104AF9">
        <w:rPr>
          <w:rFonts w:cs="Tahoma"/>
        </w:rPr>
        <w:t xml:space="preserve">Each participant shall </w:t>
      </w:r>
      <w:r w:rsidR="00717A66" w:rsidRPr="00104AF9">
        <w:rPr>
          <w:rFonts w:cs="Tahoma"/>
        </w:rPr>
        <w:t>calibrate their</w:t>
      </w:r>
      <w:r w:rsidRPr="00104AF9">
        <w:rPr>
          <w:rFonts w:cs="Tahoma"/>
        </w:rPr>
        <w:t xml:space="preserve"> </w:t>
      </w:r>
      <w:r w:rsidR="00717A66" w:rsidRPr="00104AF9">
        <w:rPr>
          <w:rFonts w:cs="Tahoma"/>
        </w:rPr>
        <w:t xml:space="preserve">divider </w:t>
      </w:r>
      <w:r w:rsidRPr="00104AF9">
        <w:rPr>
          <w:rFonts w:cs="Tahoma"/>
        </w:rPr>
        <w:t>before</w:t>
      </w:r>
      <w:r w:rsidR="00717A66" w:rsidRPr="00104AF9">
        <w:rPr>
          <w:rFonts w:cs="Tahoma"/>
        </w:rPr>
        <w:t xml:space="preserve"> the comparison session</w:t>
      </w:r>
      <w:r w:rsidRPr="00104AF9">
        <w:rPr>
          <w:rFonts w:cs="Tahoma"/>
        </w:rPr>
        <w:t>. The calibration certificate shall</w:t>
      </w:r>
      <w:r w:rsidR="00717A66" w:rsidRPr="00104AF9">
        <w:rPr>
          <w:rFonts w:cs="Tahoma"/>
        </w:rPr>
        <w:t xml:space="preserve"> be signed before the start of the RISE session and</w:t>
      </w:r>
      <w:r w:rsidRPr="00104AF9">
        <w:rPr>
          <w:rFonts w:cs="Tahoma"/>
        </w:rPr>
        <w:t xml:space="preserve">, </w:t>
      </w:r>
      <w:r w:rsidR="004A27B0" w:rsidRPr="00104AF9">
        <w:t>at minimum,</w:t>
      </w:r>
      <w:r w:rsidR="009A22F7" w:rsidRPr="00104AF9">
        <w:t xml:space="preserve"> </w:t>
      </w:r>
      <w:r w:rsidR="00717A66" w:rsidRPr="00104AF9">
        <w:t xml:space="preserve">it shall </w:t>
      </w:r>
      <w:r w:rsidR="009A22F7" w:rsidRPr="00104AF9">
        <w:t>contain the following:</w:t>
      </w:r>
    </w:p>
    <w:p w14:paraId="6F957632" w14:textId="77777777" w:rsidR="009A22F7" w:rsidRPr="00104AF9" w:rsidRDefault="009A22F7" w:rsidP="00A20E40">
      <w:pPr>
        <w:pStyle w:val="ListParagraph"/>
        <w:numPr>
          <w:ilvl w:val="0"/>
          <w:numId w:val="8"/>
        </w:numPr>
        <w:spacing w:before="120" w:after="200" w:line="276" w:lineRule="auto"/>
        <w:jc w:val="both"/>
      </w:pPr>
      <w:r w:rsidRPr="00104AF9">
        <w:t xml:space="preserve">description of the measuring set-up(s) including the electrical circuit </w:t>
      </w:r>
      <w:proofErr w:type="gramStart"/>
      <w:r w:rsidRPr="00104AF9">
        <w:t>configuration;</w:t>
      </w:r>
      <w:proofErr w:type="gramEnd"/>
    </w:p>
    <w:p w14:paraId="6918DECF" w14:textId="47AB1893" w:rsidR="00FA5A8C" w:rsidRPr="00104AF9" w:rsidRDefault="009A22F7" w:rsidP="00FA5A8C">
      <w:pPr>
        <w:pStyle w:val="ListParagraph"/>
        <w:numPr>
          <w:ilvl w:val="0"/>
          <w:numId w:val="8"/>
        </w:numPr>
        <w:spacing w:before="120" w:after="200" w:line="276" w:lineRule="auto"/>
        <w:jc w:val="both"/>
      </w:pPr>
      <w:r w:rsidRPr="00104AF9">
        <w:t xml:space="preserve">traceability </w:t>
      </w:r>
      <w:proofErr w:type="gramStart"/>
      <w:r w:rsidRPr="00104AF9">
        <w:t>scheme;</w:t>
      </w:r>
      <w:proofErr w:type="gramEnd"/>
      <w:r w:rsidRPr="00104AF9">
        <w:t xml:space="preserve"> if the traceability to the SI is provided by another NMI, the name of the NMI has to be stated (needed to identify possible sources of correlation)</w:t>
      </w:r>
      <w:r w:rsidR="00FA5A8C" w:rsidRPr="00104AF9">
        <w:t>;</w:t>
      </w:r>
    </w:p>
    <w:p w14:paraId="09DA9B91" w14:textId="35CCD682" w:rsidR="00FA5A8C" w:rsidRPr="00104AF9" w:rsidRDefault="00FA5A8C" w:rsidP="00FA5A8C">
      <w:pPr>
        <w:pStyle w:val="ListParagraph"/>
        <w:numPr>
          <w:ilvl w:val="0"/>
          <w:numId w:val="8"/>
        </w:numPr>
        <w:spacing w:before="120" w:after="200" w:line="276" w:lineRule="auto"/>
        <w:jc w:val="both"/>
      </w:pPr>
      <w:r w:rsidRPr="00104AF9">
        <w:t>value and uncertainty of the scale factor, and respective voltage level(s</w:t>
      </w:r>
      <w:proofErr w:type="gramStart"/>
      <w:r w:rsidRPr="00104AF9">
        <w:t>);</w:t>
      </w:r>
      <w:proofErr w:type="gramEnd"/>
    </w:p>
    <w:p w14:paraId="0948DAEB" w14:textId="351F15D8" w:rsidR="00FA5A8C" w:rsidRPr="00104AF9" w:rsidRDefault="00FA5A8C" w:rsidP="00FA5A8C">
      <w:pPr>
        <w:pStyle w:val="ListParagraph"/>
        <w:numPr>
          <w:ilvl w:val="0"/>
          <w:numId w:val="8"/>
        </w:numPr>
        <w:spacing w:before="120" w:after="200" w:line="276" w:lineRule="auto"/>
        <w:jc w:val="both"/>
      </w:pPr>
      <w:r w:rsidRPr="00104AF9">
        <w:t>value and uncertainty of the reference branch high voltage resistor, and respective voltage level(s</w:t>
      </w:r>
      <w:proofErr w:type="gramStart"/>
      <w:r w:rsidRPr="00104AF9">
        <w:t>);</w:t>
      </w:r>
      <w:proofErr w:type="gramEnd"/>
    </w:p>
    <w:p w14:paraId="7B9E498C" w14:textId="77777777" w:rsidR="009A22F7" w:rsidRPr="00104AF9" w:rsidRDefault="009A22F7" w:rsidP="00A20E40">
      <w:pPr>
        <w:pStyle w:val="ListParagraph"/>
        <w:numPr>
          <w:ilvl w:val="0"/>
          <w:numId w:val="8"/>
        </w:numPr>
        <w:spacing w:before="120" w:after="200" w:line="276" w:lineRule="auto"/>
        <w:jc w:val="both"/>
      </w:pPr>
      <w:r w:rsidRPr="00104AF9">
        <w:t>description of the measurement procedure(s</w:t>
      </w:r>
      <w:proofErr w:type="gramStart"/>
      <w:r w:rsidRPr="00104AF9">
        <w:t>);</w:t>
      </w:r>
      <w:proofErr w:type="gramEnd"/>
    </w:p>
    <w:p w14:paraId="02786FCE" w14:textId="1F521A30" w:rsidR="009A22F7" w:rsidRPr="00104AF9" w:rsidRDefault="009A22F7" w:rsidP="00A20E40">
      <w:pPr>
        <w:pStyle w:val="ListParagraph"/>
        <w:numPr>
          <w:ilvl w:val="0"/>
          <w:numId w:val="8"/>
        </w:numPr>
        <w:spacing w:before="120" w:after="200" w:line="276" w:lineRule="auto"/>
        <w:jc w:val="both"/>
      </w:pPr>
      <w:r w:rsidRPr="00104AF9">
        <w:t>the ambient conditions of the measurement: the temperature and humidity with limits of variation.</w:t>
      </w:r>
    </w:p>
    <w:p w14:paraId="627B3530" w14:textId="3EBC9304" w:rsidR="00717A66" w:rsidRPr="00104AF9" w:rsidRDefault="00717A66" w:rsidP="00717A66">
      <w:pPr>
        <w:pStyle w:val="Heading2"/>
        <w:numPr>
          <w:ilvl w:val="1"/>
          <w:numId w:val="4"/>
        </w:numPr>
      </w:pPr>
      <w:r w:rsidRPr="00104AF9">
        <w:t>RISE comparison measurements</w:t>
      </w:r>
    </w:p>
    <w:p w14:paraId="2BB44B61" w14:textId="46AF68B1" w:rsidR="00717A66" w:rsidRPr="00226073" w:rsidRDefault="00D95A02" w:rsidP="00717A66">
      <w:pPr>
        <w:spacing w:before="120"/>
        <w:jc w:val="both"/>
        <w:rPr>
          <w:rFonts w:cs="Tahoma"/>
          <w:highlight w:val="yellow"/>
        </w:rPr>
      </w:pPr>
      <w:r w:rsidRPr="00104AF9">
        <w:rPr>
          <w:rFonts w:cs="Tahoma"/>
        </w:rPr>
        <w:t xml:space="preserve">The pilot </w:t>
      </w:r>
      <w:r w:rsidR="0080060E" w:rsidRPr="00104AF9">
        <w:rPr>
          <w:rFonts w:cs="Tahoma"/>
        </w:rPr>
        <w:t xml:space="preserve">(RISE) </w:t>
      </w:r>
      <w:r w:rsidRPr="00104AF9">
        <w:rPr>
          <w:rFonts w:cs="Tahoma"/>
        </w:rPr>
        <w:t xml:space="preserve">prepares a report summarising the results of the measurements described in chapters </w:t>
      </w:r>
      <w:r w:rsidRPr="00104AF9">
        <w:rPr>
          <w:rFonts w:cs="Tahoma"/>
        </w:rPr>
        <w:fldChar w:fldCharType="begin"/>
      </w:r>
      <w:r w:rsidRPr="00104AF9">
        <w:rPr>
          <w:rFonts w:cs="Tahoma"/>
        </w:rPr>
        <w:instrText xml:space="preserve"> REF _Ref96435877 \r \h </w:instrText>
      </w:r>
      <w:r w:rsidR="0080060E" w:rsidRPr="00104AF9">
        <w:rPr>
          <w:rFonts w:cs="Tahoma"/>
        </w:rPr>
        <w:instrText xml:space="preserve"> \* MERGEFORMAT </w:instrText>
      </w:r>
      <w:r w:rsidRPr="00104AF9">
        <w:rPr>
          <w:rFonts w:cs="Tahoma"/>
        </w:rPr>
      </w:r>
      <w:r w:rsidRPr="00104AF9">
        <w:rPr>
          <w:rFonts w:cs="Tahoma"/>
        </w:rPr>
        <w:fldChar w:fldCharType="separate"/>
      </w:r>
      <w:r w:rsidRPr="00104AF9">
        <w:rPr>
          <w:rFonts w:cs="Tahoma"/>
        </w:rPr>
        <w:t>4.2</w:t>
      </w:r>
      <w:r w:rsidRPr="00104AF9">
        <w:rPr>
          <w:rFonts w:cs="Tahoma"/>
        </w:rPr>
        <w:fldChar w:fldCharType="end"/>
      </w:r>
      <w:r w:rsidRPr="00104AF9">
        <w:rPr>
          <w:rFonts w:cs="Tahoma"/>
        </w:rPr>
        <w:t xml:space="preserve"> and </w:t>
      </w:r>
      <w:r w:rsidRPr="00104AF9">
        <w:rPr>
          <w:rFonts w:cs="Tahoma"/>
        </w:rPr>
        <w:fldChar w:fldCharType="begin"/>
      </w:r>
      <w:r w:rsidRPr="00104AF9">
        <w:rPr>
          <w:rFonts w:cs="Tahoma"/>
        </w:rPr>
        <w:instrText xml:space="preserve"> REF _Ref96435890 \r \h </w:instrText>
      </w:r>
      <w:r w:rsidR="0080060E" w:rsidRPr="00104AF9">
        <w:rPr>
          <w:rFonts w:cs="Tahoma"/>
        </w:rPr>
        <w:instrText xml:space="preserve"> \* MERGEFORMAT </w:instrText>
      </w:r>
      <w:r w:rsidRPr="00104AF9">
        <w:rPr>
          <w:rFonts w:cs="Tahoma"/>
        </w:rPr>
      </w:r>
      <w:r w:rsidRPr="00104AF9">
        <w:rPr>
          <w:rFonts w:cs="Tahoma"/>
        </w:rPr>
        <w:fldChar w:fldCharType="separate"/>
      </w:r>
      <w:r w:rsidRPr="00104AF9">
        <w:rPr>
          <w:rFonts w:cs="Tahoma"/>
        </w:rPr>
        <w:t>4.3</w:t>
      </w:r>
      <w:r w:rsidRPr="00104AF9">
        <w:rPr>
          <w:rFonts w:cs="Tahoma"/>
        </w:rPr>
        <w:fldChar w:fldCharType="end"/>
      </w:r>
      <w:r w:rsidRPr="00104AF9">
        <w:rPr>
          <w:rFonts w:cs="Tahoma"/>
        </w:rPr>
        <w:t>.</w:t>
      </w:r>
      <w:r w:rsidR="002B1330" w:rsidRPr="00104AF9">
        <w:rPr>
          <w:rFonts w:cs="Tahoma"/>
        </w:rPr>
        <w:t xml:space="preserve"> </w:t>
      </w:r>
      <w:r w:rsidR="00226073">
        <w:rPr>
          <w:rFonts w:cs="Tahoma"/>
        </w:rPr>
        <w:t xml:space="preserve">RISE will not disclose this report to other participants until all calibration certificates described in clauses </w:t>
      </w:r>
      <w:r w:rsidR="00226073">
        <w:rPr>
          <w:rFonts w:cs="Tahoma"/>
        </w:rPr>
        <w:fldChar w:fldCharType="begin"/>
      </w:r>
      <w:r w:rsidR="00226073">
        <w:rPr>
          <w:rFonts w:cs="Tahoma"/>
        </w:rPr>
        <w:instrText xml:space="preserve"> REF _Ref96429422 \w \h </w:instrText>
      </w:r>
      <w:r w:rsidR="00226073">
        <w:rPr>
          <w:rFonts w:cs="Tahoma"/>
        </w:rPr>
      </w:r>
      <w:r w:rsidR="00226073">
        <w:rPr>
          <w:rFonts w:cs="Tahoma"/>
        </w:rPr>
        <w:fldChar w:fldCharType="separate"/>
      </w:r>
      <w:r w:rsidR="00226073">
        <w:rPr>
          <w:rFonts w:cs="Tahoma"/>
        </w:rPr>
        <w:t>5.1</w:t>
      </w:r>
      <w:r w:rsidR="00226073">
        <w:rPr>
          <w:rFonts w:cs="Tahoma"/>
        </w:rPr>
        <w:fldChar w:fldCharType="end"/>
      </w:r>
      <w:r w:rsidR="00226073">
        <w:rPr>
          <w:rFonts w:cs="Tahoma"/>
        </w:rPr>
        <w:t xml:space="preserve"> and </w:t>
      </w:r>
      <w:r w:rsidR="00226073">
        <w:rPr>
          <w:rFonts w:cs="Tahoma"/>
        </w:rPr>
        <w:fldChar w:fldCharType="begin"/>
      </w:r>
      <w:r w:rsidR="00226073">
        <w:rPr>
          <w:rFonts w:cs="Tahoma"/>
        </w:rPr>
        <w:instrText xml:space="preserve"> REF _Ref98401862 \w \h </w:instrText>
      </w:r>
      <w:r w:rsidR="00226073">
        <w:rPr>
          <w:rFonts w:cs="Tahoma"/>
        </w:rPr>
      </w:r>
      <w:r w:rsidR="00226073">
        <w:rPr>
          <w:rFonts w:cs="Tahoma"/>
        </w:rPr>
        <w:fldChar w:fldCharType="separate"/>
      </w:r>
      <w:r w:rsidR="00226073">
        <w:rPr>
          <w:rFonts w:cs="Tahoma"/>
        </w:rPr>
        <w:t>5.3</w:t>
      </w:r>
      <w:r w:rsidR="00226073">
        <w:rPr>
          <w:rFonts w:cs="Tahoma"/>
        </w:rPr>
        <w:fldChar w:fldCharType="end"/>
      </w:r>
      <w:r w:rsidR="00226073">
        <w:rPr>
          <w:rFonts w:cs="Tahoma"/>
        </w:rPr>
        <w:t xml:space="preserve"> are submitted.</w:t>
      </w:r>
    </w:p>
    <w:p w14:paraId="0706E9A4" w14:textId="26FBD0D4" w:rsidR="00717A66" w:rsidRPr="00104AF9" w:rsidRDefault="00717A66" w:rsidP="00717A66">
      <w:pPr>
        <w:pStyle w:val="Heading2"/>
        <w:numPr>
          <w:ilvl w:val="1"/>
          <w:numId w:val="4"/>
        </w:numPr>
      </w:pPr>
      <w:bookmarkStart w:id="8" w:name="_Ref98401862"/>
      <w:r w:rsidRPr="00104AF9">
        <w:lastRenderedPageBreak/>
        <w:t>After RISE comparison measurements</w:t>
      </w:r>
      <w:bookmarkEnd w:id="8"/>
    </w:p>
    <w:p w14:paraId="2BC36B12" w14:textId="0A5DAC80" w:rsidR="00717A66" w:rsidRPr="00104AF9" w:rsidRDefault="00717A66" w:rsidP="00717A66">
      <w:pPr>
        <w:spacing w:before="120" w:after="200" w:line="276" w:lineRule="auto"/>
        <w:jc w:val="both"/>
      </w:pPr>
      <w:r w:rsidRPr="00104AF9">
        <w:rPr>
          <w:rFonts w:cs="Tahoma"/>
        </w:rPr>
        <w:t xml:space="preserve">Each participant shall repeat the calibration described in chapter </w:t>
      </w:r>
      <w:r w:rsidRPr="00104AF9">
        <w:rPr>
          <w:rFonts w:cs="Tahoma"/>
        </w:rPr>
        <w:fldChar w:fldCharType="begin"/>
      </w:r>
      <w:r w:rsidRPr="00104AF9">
        <w:rPr>
          <w:rFonts w:cs="Tahoma"/>
        </w:rPr>
        <w:instrText xml:space="preserve"> REF _Ref96429422 \r \h </w:instrText>
      </w:r>
      <w:r w:rsidR="0080060E" w:rsidRPr="00104AF9">
        <w:rPr>
          <w:rFonts w:cs="Tahoma"/>
        </w:rPr>
        <w:instrText xml:space="preserve"> \* MERGEFORMAT </w:instrText>
      </w:r>
      <w:r w:rsidRPr="00104AF9">
        <w:rPr>
          <w:rFonts w:cs="Tahoma"/>
        </w:rPr>
      </w:r>
      <w:r w:rsidRPr="00104AF9">
        <w:rPr>
          <w:rFonts w:cs="Tahoma"/>
        </w:rPr>
        <w:fldChar w:fldCharType="separate"/>
      </w:r>
      <w:r w:rsidRPr="00104AF9">
        <w:rPr>
          <w:rFonts w:cs="Tahoma"/>
        </w:rPr>
        <w:t>5.1</w:t>
      </w:r>
      <w:r w:rsidRPr="00104AF9">
        <w:rPr>
          <w:rFonts w:cs="Tahoma"/>
        </w:rPr>
        <w:fldChar w:fldCharType="end"/>
      </w:r>
      <w:r w:rsidRPr="00104AF9">
        <w:rPr>
          <w:rFonts w:cs="Tahoma"/>
        </w:rPr>
        <w:t xml:space="preserve"> within </w:t>
      </w:r>
      <w:r w:rsidR="00164781" w:rsidRPr="00104AF9">
        <w:rPr>
          <w:rFonts w:cs="Tahoma"/>
        </w:rPr>
        <w:t xml:space="preserve">2 </w:t>
      </w:r>
      <w:r w:rsidRPr="00104AF9">
        <w:rPr>
          <w:rFonts w:cs="Tahoma"/>
        </w:rPr>
        <w:t>month</w:t>
      </w:r>
      <w:r w:rsidR="00164781" w:rsidRPr="00104AF9">
        <w:rPr>
          <w:rFonts w:cs="Tahoma"/>
        </w:rPr>
        <w:t>s</w:t>
      </w:r>
      <w:r w:rsidRPr="00104AF9">
        <w:rPr>
          <w:rFonts w:cs="Tahoma"/>
        </w:rPr>
        <w:t xml:space="preserve"> </w:t>
      </w:r>
      <w:r w:rsidR="00164781" w:rsidRPr="00104AF9">
        <w:rPr>
          <w:rFonts w:cs="Tahoma"/>
        </w:rPr>
        <w:t xml:space="preserve">after return of the divider to their laboratory </w:t>
      </w:r>
      <w:r w:rsidRPr="00104AF9">
        <w:rPr>
          <w:rFonts w:cs="Tahoma"/>
        </w:rPr>
        <w:t xml:space="preserve">and send both calibration certificates to the coordinator. </w:t>
      </w:r>
    </w:p>
    <w:p w14:paraId="6F9F5E74" w14:textId="787C6B47" w:rsidR="002A5E76" w:rsidRPr="00104AF9" w:rsidRDefault="00D95A02" w:rsidP="002A5E76">
      <w:pPr>
        <w:pStyle w:val="Heading1"/>
      </w:pPr>
      <w:r w:rsidRPr="00104AF9">
        <w:t>Final r</w:t>
      </w:r>
      <w:r w:rsidR="002A5E76" w:rsidRPr="00104AF9">
        <w:t>eport of the comparison</w:t>
      </w:r>
    </w:p>
    <w:p w14:paraId="092C4B7A" w14:textId="47B7CB5C" w:rsidR="00717A66" w:rsidRPr="00104AF9" w:rsidRDefault="002A5E76" w:rsidP="002A5E76">
      <w:pPr>
        <w:spacing w:before="120"/>
        <w:jc w:val="both"/>
        <w:rPr>
          <w:rFonts w:cs="Tahoma"/>
          <w:lang w:val="en-US"/>
        </w:rPr>
      </w:pPr>
      <w:r w:rsidRPr="00104AF9">
        <w:rPr>
          <w:rFonts w:cs="Tahoma"/>
          <w:lang w:val="en-US"/>
        </w:rPr>
        <w:t xml:space="preserve">Within 3 months after completion of all measurements, the </w:t>
      </w:r>
      <w:r w:rsidR="00226073">
        <w:rPr>
          <w:rFonts w:cs="Tahoma"/>
        </w:rPr>
        <w:t>VTT</w:t>
      </w:r>
      <w:r w:rsidRPr="00104AF9">
        <w:rPr>
          <w:rFonts w:cs="Tahoma"/>
          <w:lang w:val="en-US"/>
        </w:rPr>
        <w:t xml:space="preserve"> will prepare </w:t>
      </w:r>
      <w:r w:rsidR="009A22F7" w:rsidRPr="00104AF9">
        <w:rPr>
          <w:rFonts w:cs="Tahoma"/>
          <w:lang w:val="en-US"/>
        </w:rPr>
        <w:t>the</w:t>
      </w:r>
      <w:r w:rsidRPr="00104AF9">
        <w:rPr>
          <w:rFonts w:cs="Tahoma"/>
          <w:lang w:val="en-US"/>
        </w:rPr>
        <w:t xml:space="preserve"> first draft report and send it to the participants for comments. </w:t>
      </w:r>
    </w:p>
    <w:p w14:paraId="70ACA329" w14:textId="77777777" w:rsidR="0080060E" w:rsidRPr="00104AF9" w:rsidRDefault="00717A66" w:rsidP="0080060E">
      <w:pPr>
        <w:spacing w:before="120"/>
        <w:jc w:val="both"/>
        <w:rPr>
          <w:rFonts w:cs="Tahoma"/>
        </w:rPr>
      </w:pPr>
      <w:r w:rsidRPr="00104AF9">
        <w:rPr>
          <w:rFonts w:cs="Tahoma"/>
        </w:rPr>
        <w:t>T</w:t>
      </w:r>
      <w:r w:rsidR="002A5E76" w:rsidRPr="00104AF9">
        <w:rPr>
          <w:rFonts w:cs="Tahoma"/>
          <w:lang w:val="en-US"/>
        </w:rPr>
        <w:t xml:space="preserve">his </w:t>
      </w:r>
      <w:r w:rsidR="00D95A02" w:rsidRPr="00104AF9">
        <w:rPr>
          <w:rFonts w:cs="Tahoma"/>
        </w:rPr>
        <w:t xml:space="preserve">final </w:t>
      </w:r>
      <w:r w:rsidR="002A5E76" w:rsidRPr="00104AF9">
        <w:rPr>
          <w:rFonts w:cs="Tahoma"/>
          <w:lang w:val="en-US"/>
        </w:rPr>
        <w:t xml:space="preserve">report </w:t>
      </w:r>
      <w:r w:rsidRPr="00104AF9">
        <w:rPr>
          <w:rFonts w:cs="Tahoma"/>
        </w:rPr>
        <w:t xml:space="preserve">will </w:t>
      </w:r>
      <w:r w:rsidR="00D95A02" w:rsidRPr="00104AF9">
        <w:rPr>
          <w:rFonts w:cs="Tahoma"/>
        </w:rPr>
        <w:t xml:space="preserve">summarise the results from the calibration certificates and comparison report described in chapter </w:t>
      </w:r>
      <w:r w:rsidR="00D95A02" w:rsidRPr="00104AF9">
        <w:rPr>
          <w:rFonts w:cs="Tahoma"/>
        </w:rPr>
        <w:fldChar w:fldCharType="begin"/>
      </w:r>
      <w:r w:rsidR="00D95A02" w:rsidRPr="00104AF9">
        <w:rPr>
          <w:rFonts w:cs="Tahoma"/>
        </w:rPr>
        <w:instrText xml:space="preserve"> REF _Ref96436028 \r \h </w:instrText>
      </w:r>
      <w:r w:rsidR="0080060E" w:rsidRPr="00104AF9">
        <w:rPr>
          <w:rFonts w:cs="Tahoma"/>
        </w:rPr>
        <w:instrText xml:space="preserve"> \* MERGEFORMAT </w:instrText>
      </w:r>
      <w:r w:rsidR="00D95A02" w:rsidRPr="00104AF9">
        <w:rPr>
          <w:rFonts w:cs="Tahoma"/>
        </w:rPr>
      </w:r>
      <w:r w:rsidR="00D95A02" w:rsidRPr="00104AF9">
        <w:rPr>
          <w:rFonts w:cs="Tahoma"/>
        </w:rPr>
        <w:fldChar w:fldCharType="separate"/>
      </w:r>
      <w:r w:rsidR="00D95A02" w:rsidRPr="00104AF9">
        <w:rPr>
          <w:rFonts w:cs="Tahoma"/>
        </w:rPr>
        <w:t>5</w:t>
      </w:r>
      <w:r w:rsidR="00D95A02" w:rsidRPr="00104AF9">
        <w:rPr>
          <w:rFonts w:cs="Tahoma"/>
        </w:rPr>
        <w:fldChar w:fldCharType="end"/>
      </w:r>
      <w:r w:rsidR="00D95A02" w:rsidRPr="00104AF9">
        <w:rPr>
          <w:rFonts w:cs="Tahoma"/>
        </w:rPr>
        <w:t>.</w:t>
      </w:r>
    </w:p>
    <w:p w14:paraId="5BFF6484" w14:textId="2614FC4F" w:rsidR="00BB6945" w:rsidRDefault="00BB6945" w:rsidP="00E85E30">
      <w:pPr>
        <w:pStyle w:val="Heading1"/>
      </w:pPr>
      <w:r>
        <w:t>Organization</w:t>
      </w:r>
    </w:p>
    <w:p w14:paraId="6FBFFEDB" w14:textId="73DB3D53" w:rsidR="00BB6945" w:rsidRPr="00D31154" w:rsidRDefault="00BB6945" w:rsidP="00E85E30">
      <w:pPr>
        <w:pStyle w:val="Heading2"/>
      </w:pPr>
      <w:r>
        <w:t>Coordinator</w:t>
      </w:r>
    </w:p>
    <w:p w14:paraId="44C0751B" w14:textId="20A6CF45" w:rsidR="00F573D5" w:rsidRPr="00717A66" w:rsidRDefault="00F573D5" w:rsidP="00F573D5">
      <w:pPr>
        <w:pStyle w:val="Liststraight"/>
      </w:pPr>
      <w:proofErr w:type="spellStart"/>
      <w:r w:rsidRPr="00F573D5">
        <w:rPr>
          <w:lang w:val="en-GB"/>
        </w:rPr>
        <w:t>Dr.</w:t>
      </w:r>
      <w:proofErr w:type="spellEnd"/>
      <w:r w:rsidRPr="00F573D5">
        <w:rPr>
          <w:lang w:val="en-GB"/>
        </w:rPr>
        <w:t xml:space="preserve"> </w:t>
      </w:r>
      <w:r w:rsidR="00717A66">
        <w:t>Alf-Peter Elg</w:t>
      </w:r>
    </w:p>
    <w:p w14:paraId="265968F9" w14:textId="72760EA8" w:rsidR="00F573D5" w:rsidRPr="00F573D5" w:rsidRDefault="00464474" w:rsidP="004A27B0">
      <w:pPr>
        <w:pStyle w:val="Liststraight"/>
        <w:spacing w:before="120"/>
        <w:rPr>
          <w:lang w:val="en-GB"/>
        </w:rPr>
      </w:pPr>
      <w:r>
        <w:rPr>
          <w:lang w:val="en-GB"/>
        </w:rPr>
        <w:t>RISE Research Institutes of Sweden</w:t>
      </w:r>
    </w:p>
    <w:p w14:paraId="4F1CDBF8" w14:textId="41018906" w:rsidR="00F573D5" w:rsidRPr="00464474" w:rsidRDefault="00464474" w:rsidP="00F573D5">
      <w:pPr>
        <w:pStyle w:val="Liststraight"/>
        <w:rPr>
          <w:lang w:val="en-US"/>
        </w:rPr>
      </w:pPr>
      <w:r w:rsidRPr="00464474">
        <w:rPr>
          <w:lang w:val="en-US"/>
        </w:rPr>
        <w:t>Measurement Science and Te</w:t>
      </w:r>
      <w:r>
        <w:rPr>
          <w:lang w:val="en-US"/>
        </w:rPr>
        <w:t>chnology</w:t>
      </w:r>
    </w:p>
    <w:p w14:paraId="212F85D3" w14:textId="77777777" w:rsidR="00F573D5" w:rsidRPr="00464474" w:rsidRDefault="00F573D5" w:rsidP="00F573D5">
      <w:pPr>
        <w:pStyle w:val="Liststraight"/>
        <w:rPr>
          <w:lang w:val="en-US"/>
        </w:rPr>
      </w:pPr>
      <w:proofErr w:type="spellStart"/>
      <w:r w:rsidRPr="00464474">
        <w:rPr>
          <w:lang w:val="en-US"/>
        </w:rPr>
        <w:t>Brinellgatan</w:t>
      </w:r>
      <w:proofErr w:type="spellEnd"/>
      <w:r w:rsidRPr="00464474">
        <w:rPr>
          <w:lang w:val="en-US"/>
        </w:rPr>
        <w:t xml:space="preserve"> 4, P.O. Box 857</w:t>
      </w:r>
    </w:p>
    <w:p w14:paraId="372DA321" w14:textId="77777777" w:rsidR="00F573D5" w:rsidRPr="00F573D5" w:rsidRDefault="00F573D5" w:rsidP="00F573D5">
      <w:pPr>
        <w:pStyle w:val="Liststraight"/>
      </w:pPr>
      <w:r w:rsidRPr="00F573D5">
        <w:t xml:space="preserve">SE-501 15. </w:t>
      </w:r>
      <w:proofErr w:type="spellStart"/>
      <w:r w:rsidRPr="00F573D5">
        <w:t>Boras</w:t>
      </w:r>
      <w:proofErr w:type="spellEnd"/>
    </w:p>
    <w:p w14:paraId="6CD7FAA8" w14:textId="77777777" w:rsidR="00F573D5" w:rsidRPr="00F573D5" w:rsidRDefault="00F573D5" w:rsidP="00F573D5">
      <w:pPr>
        <w:pStyle w:val="Liststraight"/>
      </w:pPr>
      <w:r w:rsidRPr="00F573D5">
        <w:t>SWEDEN</w:t>
      </w:r>
    </w:p>
    <w:p w14:paraId="34B7FEC9" w14:textId="324B22D0" w:rsidR="00F573D5" w:rsidRDefault="00000000" w:rsidP="00F573D5">
      <w:pPr>
        <w:rPr>
          <w:rFonts w:cs="Tahoma"/>
          <w:lang w:val="es-ES"/>
        </w:rPr>
      </w:pPr>
      <w:hyperlink r:id="rId10" w:history="1">
        <w:r w:rsidR="00717A66" w:rsidRPr="00FC5AF0">
          <w:rPr>
            <w:rStyle w:val="Hyperlink"/>
            <w:rFonts w:cs="Tahoma"/>
          </w:rPr>
          <w:t>alf.elg</w:t>
        </w:r>
        <w:r w:rsidR="00717A66" w:rsidRPr="00FC5AF0">
          <w:rPr>
            <w:rStyle w:val="Hyperlink"/>
            <w:rFonts w:cs="Tahoma"/>
            <w:lang w:val="es-ES"/>
          </w:rPr>
          <w:t>@ri.se</w:t>
        </w:r>
      </w:hyperlink>
    </w:p>
    <w:p w14:paraId="481F4E15" w14:textId="3608C961" w:rsidR="00FC5A06" w:rsidRPr="00D31154" w:rsidRDefault="00FC5A06" w:rsidP="00FC5A06">
      <w:pPr>
        <w:pStyle w:val="Heading2"/>
      </w:pPr>
      <w:r>
        <w:t>Support group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26073" w14:paraId="09EE3CFA" w14:textId="77777777" w:rsidTr="00226073">
        <w:tc>
          <w:tcPr>
            <w:tcW w:w="4531" w:type="dxa"/>
          </w:tcPr>
          <w:p w14:paraId="029D0648" w14:textId="77777777" w:rsidR="00226073" w:rsidRDefault="00226073" w:rsidP="00226073">
            <w:pPr>
              <w:pStyle w:val="Liststraight"/>
            </w:pPr>
            <w:r w:rsidRPr="00030113">
              <w:t>Dr. Jari Hällstr</w:t>
            </w:r>
            <w:r>
              <w:t>ö</w:t>
            </w:r>
            <w:r w:rsidRPr="00030113">
              <w:t>m</w:t>
            </w:r>
          </w:p>
          <w:p w14:paraId="5D069A52" w14:textId="77777777" w:rsidR="00226073" w:rsidRPr="00FE207D" w:rsidRDefault="00226073" w:rsidP="00226073">
            <w:pPr>
              <w:pStyle w:val="Liststraight"/>
              <w:spacing w:before="120"/>
              <w:rPr>
                <w:lang w:val="en-GB"/>
              </w:rPr>
            </w:pPr>
            <w:r w:rsidRPr="00CC0D54">
              <w:rPr>
                <w:lang w:val="en-GB"/>
              </w:rPr>
              <w:t>National Metrology Institute VTT MIKES</w:t>
            </w:r>
          </w:p>
          <w:p w14:paraId="615B3566" w14:textId="77777777" w:rsidR="00226073" w:rsidRPr="000827FC" w:rsidRDefault="00226073" w:rsidP="00226073">
            <w:pPr>
              <w:pStyle w:val="Liststraight"/>
              <w:rPr>
                <w:lang w:val="en-GB"/>
              </w:rPr>
            </w:pPr>
            <w:r w:rsidRPr="000827FC">
              <w:rPr>
                <w:lang w:val="en-GB"/>
              </w:rPr>
              <w:t>Tekniikantie 1</w:t>
            </w:r>
          </w:p>
          <w:p w14:paraId="031C7355" w14:textId="77777777" w:rsidR="00226073" w:rsidRPr="000827FC" w:rsidRDefault="00226073" w:rsidP="00226073">
            <w:pPr>
              <w:pStyle w:val="Liststraight"/>
              <w:rPr>
                <w:lang w:val="en-GB"/>
              </w:rPr>
            </w:pPr>
            <w:r w:rsidRPr="000827FC">
              <w:rPr>
                <w:lang w:val="en-GB"/>
              </w:rPr>
              <w:t>FIN 0215</w:t>
            </w:r>
            <w:r>
              <w:rPr>
                <w:lang w:val="en-GB"/>
              </w:rPr>
              <w:t>0</w:t>
            </w:r>
            <w:r w:rsidRPr="000827FC">
              <w:rPr>
                <w:lang w:val="en-GB"/>
              </w:rPr>
              <w:t xml:space="preserve"> Espoo</w:t>
            </w:r>
          </w:p>
          <w:p w14:paraId="75813F38" w14:textId="77777777" w:rsidR="00226073" w:rsidRPr="00D23B92" w:rsidRDefault="00226073" w:rsidP="00226073">
            <w:pPr>
              <w:pStyle w:val="Liststraight"/>
              <w:rPr>
                <w:lang w:val="en-US"/>
              </w:rPr>
            </w:pPr>
            <w:r w:rsidRPr="00D23B92">
              <w:rPr>
                <w:lang w:val="en-US"/>
              </w:rPr>
              <w:t>FINLAND</w:t>
            </w:r>
          </w:p>
          <w:p w14:paraId="7A634226" w14:textId="77777777" w:rsidR="00226073" w:rsidRDefault="00000000" w:rsidP="00226073">
            <w:pPr>
              <w:pStyle w:val="Liststraight"/>
              <w:rPr>
                <w:rStyle w:val="Hyperlink"/>
                <w:lang w:val="fr-FR"/>
              </w:rPr>
            </w:pPr>
            <w:hyperlink r:id="rId11" w:history="1">
              <w:r w:rsidR="00226073" w:rsidRPr="00264ECC">
                <w:rPr>
                  <w:rStyle w:val="Hyperlink"/>
                  <w:lang w:val="fr-FR"/>
                </w:rPr>
                <w:t>jari.hallstrom@mikes.fi</w:t>
              </w:r>
            </w:hyperlink>
            <w:r w:rsidR="00226073">
              <w:rPr>
                <w:lang w:val="fr-FR"/>
              </w:rPr>
              <w:t xml:space="preserve"> </w:t>
            </w:r>
          </w:p>
          <w:p w14:paraId="45DA2440" w14:textId="77777777" w:rsidR="00226073" w:rsidRDefault="00226073" w:rsidP="009A22F7">
            <w:pPr>
              <w:pStyle w:val="Liststraight"/>
            </w:pPr>
          </w:p>
        </w:tc>
        <w:tc>
          <w:tcPr>
            <w:tcW w:w="4531" w:type="dxa"/>
          </w:tcPr>
          <w:p w14:paraId="01A0DAC3" w14:textId="77777777" w:rsidR="00226073" w:rsidRPr="00104AF9" w:rsidRDefault="00226073" w:rsidP="00226073">
            <w:pPr>
              <w:rPr>
                <w:rFonts w:cs="Tahoma"/>
              </w:rPr>
            </w:pPr>
            <w:r w:rsidRPr="00104AF9">
              <w:rPr>
                <w:rFonts w:cs="Tahoma"/>
              </w:rPr>
              <w:t xml:space="preserve">Prof. </w:t>
            </w:r>
            <w:proofErr w:type="spellStart"/>
            <w:r w:rsidRPr="00104AF9">
              <w:rPr>
                <w:rFonts w:cs="Tahoma"/>
              </w:rPr>
              <w:t>dr.</w:t>
            </w:r>
            <w:proofErr w:type="spellEnd"/>
            <w:r w:rsidRPr="00104AF9">
              <w:rPr>
                <w:rFonts w:cs="Tahoma"/>
              </w:rPr>
              <w:t xml:space="preserve"> </w:t>
            </w:r>
            <w:proofErr w:type="spellStart"/>
            <w:r w:rsidRPr="00104AF9">
              <w:rPr>
                <w:rFonts w:cs="Tahoma"/>
              </w:rPr>
              <w:t>ir.</w:t>
            </w:r>
            <w:proofErr w:type="spellEnd"/>
            <w:r w:rsidRPr="00104AF9">
              <w:rPr>
                <w:rFonts w:cs="Tahoma"/>
              </w:rPr>
              <w:t xml:space="preserve"> Gert Rietveld</w:t>
            </w:r>
          </w:p>
          <w:p w14:paraId="28ED99CD" w14:textId="77777777" w:rsidR="00226073" w:rsidRPr="00FE207D" w:rsidRDefault="00226073" w:rsidP="00226073">
            <w:pPr>
              <w:pStyle w:val="Liststraight"/>
              <w:spacing w:before="120"/>
              <w:rPr>
                <w:lang w:val="en-GB"/>
              </w:rPr>
            </w:pPr>
            <w:r w:rsidRPr="00104AF9">
              <w:rPr>
                <w:rFonts w:cs="Tahoma"/>
              </w:rPr>
              <w:t xml:space="preserve">VSL </w:t>
            </w:r>
            <w:proofErr w:type="spellStart"/>
            <w:r w:rsidRPr="00104AF9">
              <w:rPr>
                <w:rFonts w:cs="Tahoma"/>
              </w:rPr>
              <w:t>National</w:t>
            </w:r>
            <w:proofErr w:type="spellEnd"/>
            <w:r w:rsidRPr="00104AF9">
              <w:rPr>
                <w:rFonts w:cs="Tahoma"/>
              </w:rPr>
              <w:t xml:space="preserve"> </w:t>
            </w:r>
            <w:proofErr w:type="spellStart"/>
            <w:r w:rsidRPr="00104AF9">
              <w:rPr>
                <w:rFonts w:cs="Tahoma"/>
              </w:rPr>
              <w:t>Metrology</w:t>
            </w:r>
            <w:proofErr w:type="spellEnd"/>
            <w:r w:rsidRPr="00104AF9">
              <w:rPr>
                <w:rFonts w:cs="Tahoma"/>
              </w:rPr>
              <w:t xml:space="preserve"> </w:t>
            </w:r>
            <w:proofErr w:type="spellStart"/>
            <w:r w:rsidRPr="00104AF9">
              <w:rPr>
                <w:rFonts w:cs="Tahoma"/>
              </w:rPr>
              <w:t>Institute</w:t>
            </w:r>
            <w:proofErr w:type="spellEnd"/>
          </w:p>
          <w:p w14:paraId="3E320405" w14:textId="77777777" w:rsidR="00226073" w:rsidRPr="000827FC" w:rsidRDefault="00226073" w:rsidP="00226073">
            <w:pPr>
              <w:pStyle w:val="Liststraight"/>
              <w:rPr>
                <w:lang w:val="en-GB"/>
              </w:rPr>
            </w:pPr>
            <w:proofErr w:type="spellStart"/>
            <w:r w:rsidRPr="00104AF9">
              <w:rPr>
                <w:rFonts w:cs="Tahoma"/>
              </w:rPr>
              <w:t>Thijsseweg</w:t>
            </w:r>
            <w:proofErr w:type="spellEnd"/>
            <w:r w:rsidRPr="00104AF9">
              <w:rPr>
                <w:rFonts w:cs="Tahoma"/>
              </w:rPr>
              <w:t xml:space="preserve"> 11</w:t>
            </w:r>
          </w:p>
          <w:p w14:paraId="1FD116A6" w14:textId="77777777" w:rsidR="00226073" w:rsidRPr="000827FC" w:rsidRDefault="00226073" w:rsidP="00226073">
            <w:pPr>
              <w:pStyle w:val="Liststraight"/>
              <w:rPr>
                <w:lang w:val="en-GB"/>
              </w:rPr>
            </w:pPr>
            <w:r w:rsidRPr="00104AF9">
              <w:rPr>
                <w:rFonts w:cs="Tahoma"/>
              </w:rPr>
              <w:t>Delft 2629JA</w:t>
            </w:r>
          </w:p>
          <w:p w14:paraId="335EA82F" w14:textId="77777777" w:rsidR="00226073" w:rsidRPr="000827FC" w:rsidRDefault="00226073" w:rsidP="00226073">
            <w:pPr>
              <w:pStyle w:val="Liststraight"/>
              <w:rPr>
                <w:lang w:val="en-GB"/>
              </w:rPr>
            </w:pPr>
            <w:proofErr w:type="spellStart"/>
            <w:r w:rsidRPr="00104AF9">
              <w:rPr>
                <w:rFonts w:cs="Tahoma"/>
              </w:rPr>
              <w:t>The</w:t>
            </w:r>
            <w:proofErr w:type="spellEnd"/>
            <w:r w:rsidRPr="00104AF9">
              <w:rPr>
                <w:rFonts w:cs="Tahoma"/>
              </w:rPr>
              <w:t xml:space="preserve"> </w:t>
            </w:r>
            <w:proofErr w:type="spellStart"/>
            <w:r w:rsidRPr="00104AF9">
              <w:rPr>
                <w:rFonts w:cs="Tahoma"/>
              </w:rPr>
              <w:t>Netherlands</w:t>
            </w:r>
            <w:proofErr w:type="spellEnd"/>
          </w:p>
          <w:p w14:paraId="65B2C653" w14:textId="77777777" w:rsidR="00226073" w:rsidRDefault="00000000" w:rsidP="00226073">
            <w:pPr>
              <w:pStyle w:val="Liststraight"/>
              <w:rPr>
                <w:rStyle w:val="Hyperlink"/>
                <w:lang w:val="fr-FR"/>
              </w:rPr>
            </w:pPr>
            <w:hyperlink r:id="rId12" w:history="1">
              <w:r w:rsidR="00226073" w:rsidRPr="00104AF9">
                <w:rPr>
                  <w:rStyle w:val="Hyperlink"/>
                  <w:rFonts w:cs="Tahoma"/>
                </w:rPr>
                <w:t>grietveld@vsl.nl</w:t>
              </w:r>
            </w:hyperlink>
          </w:p>
          <w:p w14:paraId="5CAD9306" w14:textId="77777777" w:rsidR="00226073" w:rsidRDefault="00226073" w:rsidP="009A22F7">
            <w:pPr>
              <w:pStyle w:val="Liststraight"/>
            </w:pPr>
          </w:p>
        </w:tc>
      </w:tr>
    </w:tbl>
    <w:p w14:paraId="47E984FC" w14:textId="0FBB50A2" w:rsidR="00B34850" w:rsidRPr="00427BD8" w:rsidRDefault="00B34850" w:rsidP="004A7B7F">
      <w:pPr>
        <w:rPr>
          <w:lang w:val="fr-FR"/>
        </w:rPr>
      </w:pPr>
    </w:p>
    <w:p w14:paraId="11D91B11" w14:textId="1CE926F6" w:rsidR="00645412" w:rsidRDefault="00867F25" w:rsidP="00137C7B">
      <w:pPr>
        <w:pStyle w:val="Heading2"/>
      </w:pPr>
      <w:r w:rsidRPr="00D00BB0">
        <w:rPr>
          <w:lang w:val="fr-FR"/>
        </w:rPr>
        <w:t xml:space="preserve"> </w:t>
      </w:r>
      <w:r w:rsidRPr="00B0205B">
        <w:t>Participants</w:t>
      </w:r>
    </w:p>
    <w:tbl>
      <w:tblPr>
        <w:tblStyle w:val="TableGrid"/>
        <w:tblW w:w="5000" w:type="pct"/>
        <w:tblLook w:val="04A0" w:firstRow="1" w:lastRow="0" w:firstColumn="1" w:lastColumn="0" w:noHBand="0" w:noVBand="1"/>
      </w:tblPr>
      <w:tblGrid>
        <w:gridCol w:w="1103"/>
        <w:gridCol w:w="3075"/>
        <w:gridCol w:w="1273"/>
        <w:gridCol w:w="860"/>
        <w:gridCol w:w="2751"/>
      </w:tblGrid>
      <w:tr w:rsidR="00717A66" w:rsidRPr="000827FC" w14:paraId="006DFA66" w14:textId="77777777" w:rsidTr="00717A66">
        <w:tc>
          <w:tcPr>
            <w:tcW w:w="609" w:type="pct"/>
          </w:tcPr>
          <w:p w14:paraId="6F4581EA" w14:textId="77777777" w:rsidR="00717A66" w:rsidRPr="004A27B0" w:rsidRDefault="00717A66" w:rsidP="00441677">
            <w:pPr>
              <w:rPr>
                <w:rFonts w:cs="Tahoma"/>
                <w:b/>
                <w:bCs/>
                <w:sz w:val="20"/>
                <w:szCs w:val="20"/>
              </w:rPr>
            </w:pPr>
            <w:r w:rsidRPr="004A27B0">
              <w:rPr>
                <w:rFonts w:cs="Tahoma"/>
                <w:b/>
                <w:bCs/>
                <w:sz w:val="20"/>
                <w:szCs w:val="20"/>
              </w:rPr>
              <w:t>Acronym</w:t>
            </w:r>
          </w:p>
        </w:tc>
        <w:tc>
          <w:tcPr>
            <w:tcW w:w="1970" w:type="pct"/>
          </w:tcPr>
          <w:p w14:paraId="5895D675" w14:textId="77777777" w:rsidR="00717A66" w:rsidRPr="004A27B0" w:rsidRDefault="00717A66" w:rsidP="00441677">
            <w:pPr>
              <w:rPr>
                <w:rFonts w:cs="Tahoma"/>
                <w:b/>
                <w:bCs/>
                <w:sz w:val="20"/>
                <w:szCs w:val="20"/>
              </w:rPr>
            </w:pPr>
            <w:r w:rsidRPr="004A27B0">
              <w:rPr>
                <w:rFonts w:cs="Tahoma"/>
                <w:b/>
                <w:bCs/>
                <w:sz w:val="20"/>
                <w:szCs w:val="20"/>
              </w:rPr>
              <w:t>Institute</w:t>
            </w:r>
          </w:p>
        </w:tc>
        <w:tc>
          <w:tcPr>
            <w:tcW w:w="429" w:type="pct"/>
          </w:tcPr>
          <w:p w14:paraId="07512870" w14:textId="77777777" w:rsidR="00717A66" w:rsidRPr="004A27B0" w:rsidRDefault="00717A66" w:rsidP="00441677">
            <w:pPr>
              <w:rPr>
                <w:rFonts w:cs="Tahoma"/>
                <w:b/>
                <w:bCs/>
                <w:sz w:val="20"/>
                <w:szCs w:val="20"/>
              </w:rPr>
            </w:pPr>
            <w:r w:rsidRPr="004A27B0">
              <w:rPr>
                <w:rFonts w:cs="Tahoma"/>
                <w:b/>
                <w:bCs/>
                <w:sz w:val="20"/>
                <w:szCs w:val="20"/>
              </w:rPr>
              <w:t>Country</w:t>
            </w:r>
          </w:p>
        </w:tc>
        <w:tc>
          <w:tcPr>
            <w:tcW w:w="475" w:type="pct"/>
          </w:tcPr>
          <w:p w14:paraId="4F8913AC" w14:textId="77777777" w:rsidR="00717A66" w:rsidRPr="004A27B0" w:rsidRDefault="00717A66" w:rsidP="00441677">
            <w:pPr>
              <w:jc w:val="center"/>
              <w:rPr>
                <w:rFonts w:cs="Tahoma"/>
                <w:b/>
                <w:bCs/>
                <w:sz w:val="20"/>
                <w:szCs w:val="20"/>
              </w:rPr>
            </w:pPr>
            <w:r w:rsidRPr="004A27B0">
              <w:rPr>
                <w:rFonts w:cs="Tahoma"/>
                <w:b/>
                <w:bCs/>
                <w:sz w:val="20"/>
                <w:szCs w:val="20"/>
              </w:rPr>
              <w:t>Status</w:t>
            </w:r>
          </w:p>
        </w:tc>
        <w:tc>
          <w:tcPr>
            <w:tcW w:w="1518" w:type="pct"/>
          </w:tcPr>
          <w:p w14:paraId="08C17339" w14:textId="77777777" w:rsidR="00717A66" w:rsidRPr="004A27B0" w:rsidRDefault="00717A66" w:rsidP="00441677">
            <w:pPr>
              <w:rPr>
                <w:rFonts w:cs="Tahoma"/>
                <w:b/>
                <w:bCs/>
                <w:sz w:val="20"/>
                <w:szCs w:val="20"/>
              </w:rPr>
            </w:pPr>
            <w:r w:rsidRPr="004A27B0">
              <w:rPr>
                <w:rFonts w:cs="Tahoma"/>
                <w:b/>
                <w:bCs/>
                <w:sz w:val="20"/>
                <w:szCs w:val="20"/>
              </w:rPr>
              <w:t>Contact</w:t>
            </w:r>
          </w:p>
        </w:tc>
      </w:tr>
      <w:tr w:rsidR="00717A66" w:rsidRPr="009E53F4" w14:paraId="5B19984F" w14:textId="77777777" w:rsidTr="00717A66">
        <w:tc>
          <w:tcPr>
            <w:tcW w:w="609" w:type="pct"/>
          </w:tcPr>
          <w:p w14:paraId="162BC05F" w14:textId="77777777" w:rsidR="00717A66" w:rsidRPr="000827FC" w:rsidRDefault="00717A66" w:rsidP="00441677">
            <w:pPr>
              <w:rPr>
                <w:rFonts w:cs="Tahoma"/>
                <w:sz w:val="20"/>
                <w:szCs w:val="20"/>
              </w:rPr>
            </w:pPr>
            <w:r w:rsidRPr="000827FC">
              <w:rPr>
                <w:rFonts w:cs="Tahoma"/>
                <w:sz w:val="20"/>
                <w:szCs w:val="20"/>
              </w:rPr>
              <w:t>RISE</w:t>
            </w:r>
          </w:p>
        </w:tc>
        <w:tc>
          <w:tcPr>
            <w:tcW w:w="1970" w:type="pct"/>
          </w:tcPr>
          <w:p w14:paraId="277FC186" w14:textId="77777777" w:rsidR="00717A66" w:rsidRPr="000827FC" w:rsidRDefault="00717A66" w:rsidP="00441677">
            <w:pPr>
              <w:rPr>
                <w:rFonts w:cs="Tahoma"/>
                <w:sz w:val="20"/>
                <w:szCs w:val="20"/>
              </w:rPr>
            </w:pPr>
            <w:r w:rsidRPr="000827FC">
              <w:rPr>
                <w:rFonts w:cs="Tahoma"/>
                <w:sz w:val="20"/>
                <w:szCs w:val="20"/>
              </w:rPr>
              <w:t>Research Institutes of Sweden AB</w:t>
            </w:r>
          </w:p>
        </w:tc>
        <w:tc>
          <w:tcPr>
            <w:tcW w:w="429" w:type="pct"/>
          </w:tcPr>
          <w:p w14:paraId="6B2FFBD2" w14:textId="77777777" w:rsidR="00717A66" w:rsidRPr="000827FC" w:rsidRDefault="00717A66" w:rsidP="00441677">
            <w:pPr>
              <w:rPr>
                <w:rFonts w:cs="Tahoma"/>
                <w:sz w:val="20"/>
                <w:szCs w:val="20"/>
              </w:rPr>
            </w:pPr>
            <w:r w:rsidRPr="000827FC">
              <w:rPr>
                <w:rFonts w:cs="Tahoma"/>
                <w:sz w:val="20"/>
                <w:szCs w:val="20"/>
              </w:rPr>
              <w:t>Sweden</w:t>
            </w:r>
          </w:p>
        </w:tc>
        <w:tc>
          <w:tcPr>
            <w:tcW w:w="475" w:type="pct"/>
          </w:tcPr>
          <w:p w14:paraId="2ADC8A15" w14:textId="77777777" w:rsidR="00717A66" w:rsidRPr="000827FC" w:rsidRDefault="00717A66" w:rsidP="00441677">
            <w:pPr>
              <w:jc w:val="center"/>
              <w:rPr>
                <w:rFonts w:cs="Tahoma"/>
                <w:sz w:val="20"/>
                <w:szCs w:val="20"/>
              </w:rPr>
            </w:pPr>
            <w:r w:rsidRPr="000827FC">
              <w:rPr>
                <w:rFonts w:cs="Tahoma"/>
                <w:sz w:val="20"/>
                <w:szCs w:val="20"/>
              </w:rPr>
              <w:t>NMI</w:t>
            </w:r>
          </w:p>
        </w:tc>
        <w:tc>
          <w:tcPr>
            <w:tcW w:w="1518" w:type="pct"/>
          </w:tcPr>
          <w:p w14:paraId="3ECD0A86" w14:textId="4CFC6432" w:rsidR="00717A66" w:rsidRPr="00104AF9" w:rsidRDefault="009E53F4" w:rsidP="00441677">
            <w:pPr>
              <w:rPr>
                <w:rFonts w:cs="Tahoma"/>
                <w:sz w:val="20"/>
                <w:szCs w:val="20"/>
                <w:lang w:val="fi-FI"/>
              </w:rPr>
            </w:pPr>
            <w:proofErr w:type="spellStart"/>
            <w:r w:rsidRPr="00104AF9">
              <w:rPr>
                <w:rFonts w:cs="Tahoma"/>
                <w:sz w:val="20"/>
                <w:szCs w:val="20"/>
                <w:lang w:val="fi-FI"/>
              </w:rPr>
              <w:t>Dr</w:t>
            </w:r>
            <w:proofErr w:type="spellEnd"/>
            <w:r w:rsidRPr="00104AF9">
              <w:rPr>
                <w:rFonts w:cs="Tahoma"/>
                <w:sz w:val="20"/>
                <w:szCs w:val="20"/>
                <w:lang w:val="fi-FI"/>
              </w:rPr>
              <w:t>. Alf-Peter Elg</w:t>
            </w:r>
            <w:r w:rsidR="00717A66" w:rsidRPr="00104AF9">
              <w:rPr>
                <w:rFonts w:cs="Tahoma"/>
                <w:sz w:val="20"/>
                <w:szCs w:val="20"/>
                <w:lang w:val="fi-FI"/>
              </w:rPr>
              <w:br/>
            </w:r>
            <w:hyperlink r:id="rId13" w:history="1">
              <w:r w:rsidRPr="00104AF9">
                <w:rPr>
                  <w:rStyle w:val="Hyperlink"/>
                  <w:rFonts w:cs="Tahoma"/>
                  <w:sz w:val="20"/>
                  <w:szCs w:val="20"/>
                  <w:lang w:val="fi-FI"/>
                </w:rPr>
                <w:t>a</w:t>
              </w:r>
              <w:r w:rsidRPr="00104AF9">
                <w:rPr>
                  <w:rStyle w:val="Hyperlink"/>
                  <w:sz w:val="20"/>
                  <w:szCs w:val="20"/>
                </w:rPr>
                <w:t>lf.elg</w:t>
              </w:r>
              <w:r w:rsidRPr="00104AF9">
                <w:rPr>
                  <w:rStyle w:val="Hyperlink"/>
                  <w:rFonts w:cs="Tahoma"/>
                  <w:sz w:val="20"/>
                  <w:szCs w:val="20"/>
                  <w:lang w:val="fi-FI"/>
                </w:rPr>
                <w:t>@ri.se</w:t>
              </w:r>
            </w:hyperlink>
          </w:p>
        </w:tc>
      </w:tr>
      <w:tr w:rsidR="00717A66" w:rsidRPr="00494EA9" w14:paraId="29313F5A" w14:textId="77777777" w:rsidTr="00717A66">
        <w:tc>
          <w:tcPr>
            <w:tcW w:w="609" w:type="pct"/>
          </w:tcPr>
          <w:p w14:paraId="662D5635" w14:textId="70CE3530" w:rsidR="00717A66" w:rsidRPr="000827FC" w:rsidRDefault="00717A66" w:rsidP="00441677">
            <w:pPr>
              <w:rPr>
                <w:rFonts w:cs="Tahoma"/>
                <w:sz w:val="20"/>
                <w:szCs w:val="20"/>
                <w:lang w:val="sv-SE"/>
              </w:rPr>
            </w:pPr>
            <w:r w:rsidRPr="00104AF9">
              <w:rPr>
                <w:rFonts w:cs="Tahoma"/>
                <w:sz w:val="20"/>
                <w:szCs w:val="20"/>
              </w:rPr>
              <w:t>VTT</w:t>
            </w:r>
            <w:r>
              <w:rPr>
                <w:rFonts w:cs="Tahoma"/>
                <w:sz w:val="20"/>
                <w:szCs w:val="20"/>
              </w:rPr>
              <w:t xml:space="preserve"> MIKES</w:t>
            </w:r>
          </w:p>
        </w:tc>
        <w:tc>
          <w:tcPr>
            <w:tcW w:w="1970" w:type="pct"/>
          </w:tcPr>
          <w:p w14:paraId="745121D1" w14:textId="77777777" w:rsidR="00717A66" w:rsidRPr="000827FC" w:rsidRDefault="00717A66" w:rsidP="00441677">
            <w:pPr>
              <w:rPr>
                <w:rFonts w:cs="Tahoma"/>
                <w:sz w:val="20"/>
                <w:szCs w:val="20"/>
                <w:lang w:val="en-US"/>
              </w:rPr>
            </w:pPr>
            <w:r w:rsidRPr="000827FC">
              <w:rPr>
                <w:rFonts w:cs="Tahoma"/>
                <w:sz w:val="20"/>
                <w:szCs w:val="20"/>
              </w:rPr>
              <w:t xml:space="preserve">Technical Research Centre of Finland Ltd </w:t>
            </w:r>
          </w:p>
        </w:tc>
        <w:tc>
          <w:tcPr>
            <w:tcW w:w="429" w:type="pct"/>
          </w:tcPr>
          <w:p w14:paraId="678B44B6" w14:textId="77777777" w:rsidR="00717A66" w:rsidRPr="000827FC" w:rsidRDefault="00717A66" w:rsidP="00441677">
            <w:pPr>
              <w:rPr>
                <w:rFonts w:cs="Tahoma"/>
                <w:sz w:val="20"/>
                <w:szCs w:val="20"/>
                <w:lang w:val="en-US"/>
              </w:rPr>
            </w:pPr>
            <w:r w:rsidRPr="000827FC">
              <w:rPr>
                <w:rFonts w:cs="Tahoma"/>
                <w:sz w:val="20"/>
                <w:szCs w:val="20"/>
              </w:rPr>
              <w:t>Finland</w:t>
            </w:r>
          </w:p>
        </w:tc>
        <w:tc>
          <w:tcPr>
            <w:tcW w:w="475" w:type="pct"/>
          </w:tcPr>
          <w:p w14:paraId="64D7E8A2" w14:textId="77777777" w:rsidR="00717A66" w:rsidRPr="000827FC" w:rsidRDefault="00717A66" w:rsidP="00441677">
            <w:pPr>
              <w:jc w:val="center"/>
              <w:rPr>
                <w:rFonts w:cs="Tahoma"/>
                <w:sz w:val="20"/>
                <w:szCs w:val="20"/>
              </w:rPr>
            </w:pPr>
            <w:r w:rsidRPr="000827FC">
              <w:rPr>
                <w:rFonts w:cs="Tahoma"/>
                <w:sz w:val="20"/>
                <w:szCs w:val="20"/>
              </w:rPr>
              <w:t>NMI</w:t>
            </w:r>
          </w:p>
        </w:tc>
        <w:tc>
          <w:tcPr>
            <w:tcW w:w="1518" w:type="pct"/>
          </w:tcPr>
          <w:p w14:paraId="2B7B0310" w14:textId="79854AD5" w:rsidR="00717A66" w:rsidRPr="00104AF9" w:rsidRDefault="00717A66" w:rsidP="00441677">
            <w:pPr>
              <w:rPr>
                <w:rFonts w:cs="Tahoma"/>
                <w:sz w:val="20"/>
                <w:szCs w:val="20"/>
                <w:lang w:val="sv-SE"/>
              </w:rPr>
            </w:pPr>
            <w:r w:rsidRPr="00104AF9">
              <w:rPr>
                <w:rFonts w:cs="Tahoma"/>
                <w:sz w:val="20"/>
                <w:szCs w:val="20"/>
                <w:lang w:val="nl-NL"/>
              </w:rPr>
              <w:t>Dr. Jari Hällström</w:t>
            </w:r>
            <w:r w:rsidRPr="00104AF9">
              <w:rPr>
                <w:rFonts w:cs="Tahoma"/>
                <w:sz w:val="20"/>
                <w:szCs w:val="20"/>
                <w:lang w:val="sv-SE"/>
              </w:rPr>
              <w:br/>
            </w:r>
            <w:hyperlink r:id="rId14" w:history="1">
              <w:r w:rsidRPr="00104AF9">
                <w:rPr>
                  <w:rStyle w:val="Hyperlink"/>
                  <w:rFonts w:cs="Tahoma"/>
                  <w:sz w:val="20"/>
                  <w:szCs w:val="20"/>
                  <w:lang w:val="sv-SE"/>
                </w:rPr>
                <w:t>j</w:t>
              </w:r>
              <w:r w:rsidRPr="00104AF9">
                <w:rPr>
                  <w:rStyle w:val="Hyperlink"/>
                  <w:rFonts w:cs="Tahoma"/>
                  <w:sz w:val="20"/>
                  <w:szCs w:val="20"/>
                  <w:lang w:val="nl-NL"/>
                </w:rPr>
                <w:t>ari</w:t>
              </w:r>
              <w:r w:rsidRPr="00104AF9">
                <w:rPr>
                  <w:rStyle w:val="Hyperlink"/>
                  <w:rFonts w:cs="Tahoma"/>
                  <w:sz w:val="20"/>
                  <w:szCs w:val="20"/>
                  <w:lang w:val="sv-SE"/>
                </w:rPr>
                <w:t>.ha</w:t>
              </w:r>
              <w:r w:rsidRPr="00104AF9">
                <w:rPr>
                  <w:rStyle w:val="Hyperlink"/>
                  <w:rFonts w:cs="Tahoma"/>
                  <w:sz w:val="20"/>
                  <w:szCs w:val="20"/>
                  <w:lang w:val="nl-NL"/>
                </w:rPr>
                <w:t>llstrom</w:t>
              </w:r>
              <w:r w:rsidRPr="00104AF9">
                <w:rPr>
                  <w:rStyle w:val="Hyperlink"/>
                  <w:rFonts w:cs="Tahoma"/>
                  <w:sz w:val="20"/>
                  <w:szCs w:val="20"/>
                  <w:lang w:val="sv-SE"/>
                </w:rPr>
                <w:t>@</w:t>
              </w:r>
              <w:proofErr w:type="spellStart"/>
              <w:r w:rsidRPr="00104AF9">
                <w:rPr>
                  <w:rStyle w:val="Hyperlink"/>
                  <w:rFonts w:cs="Tahoma"/>
                  <w:sz w:val="20"/>
                  <w:szCs w:val="20"/>
                  <w:lang w:val="sv-SE"/>
                </w:rPr>
                <w:t>vtt.fi</w:t>
              </w:r>
              <w:proofErr w:type="spellEnd"/>
            </w:hyperlink>
            <w:r w:rsidRPr="00104AF9">
              <w:rPr>
                <w:rFonts w:cs="Tahoma"/>
                <w:sz w:val="20"/>
                <w:szCs w:val="20"/>
                <w:lang w:val="sv-SE"/>
              </w:rPr>
              <w:t xml:space="preserve"> </w:t>
            </w:r>
          </w:p>
        </w:tc>
      </w:tr>
      <w:tr w:rsidR="00717A66" w:rsidRPr="00164781" w14:paraId="696EB5D6" w14:textId="77777777" w:rsidTr="00717A66">
        <w:tc>
          <w:tcPr>
            <w:tcW w:w="609" w:type="pct"/>
          </w:tcPr>
          <w:p w14:paraId="1A01C359" w14:textId="77777777" w:rsidR="00717A66" w:rsidRPr="000827FC" w:rsidRDefault="00717A66" w:rsidP="00441677">
            <w:pPr>
              <w:rPr>
                <w:rFonts w:cs="Tahoma"/>
                <w:sz w:val="20"/>
                <w:szCs w:val="20"/>
                <w:lang w:val="en-US"/>
              </w:rPr>
            </w:pPr>
            <w:r w:rsidRPr="000827FC">
              <w:rPr>
                <w:rFonts w:cs="Tahoma"/>
                <w:sz w:val="20"/>
                <w:szCs w:val="20"/>
              </w:rPr>
              <w:t>PTB</w:t>
            </w:r>
          </w:p>
        </w:tc>
        <w:tc>
          <w:tcPr>
            <w:tcW w:w="1970" w:type="pct"/>
          </w:tcPr>
          <w:p w14:paraId="50AFDA23" w14:textId="77777777" w:rsidR="00717A66" w:rsidRPr="000827FC" w:rsidRDefault="00717A66" w:rsidP="00441677">
            <w:pPr>
              <w:rPr>
                <w:rFonts w:cs="Tahoma"/>
                <w:sz w:val="20"/>
                <w:szCs w:val="20"/>
                <w:lang w:val="en-US"/>
              </w:rPr>
            </w:pPr>
            <w:proofErr w:type="spellStart"/>
            <w:r w:rsidRPr="000827FC">
              <w:rPr>
                <w:rFonts w:cs="Tahoma"/>
                <w:sz w:val="20"/>
                <w:szCs w:val="20"/>
              </w:rPr>
              <w:t>Physikalisch-Technische</w:t>
            </w:r>
            <w:proofErr w:type="spellEnd"/>
            <w:r w:rsidRPr="000827FC">
              <w:rPr>
                <w:rFonts w:cs="Tahoma"/>
                <w:sz w:val="20"/>
                <w:szCs w:val="20"/>
              </w:rPr>
              <w:t xml:space="preserve"> </w:t>
            </w:r>
            <w:proofErr w:type="spellStart"/>
            <w:r w:rsidRPr="000827FC">
              <w:rPr>
                <w:rFonts w:cs="Tahoma"/>
                <w:sz w:val="20"/>
                <w:szCs w:val="20"/>
              </w:rPr>
              <w:t>Bundesanstalt</w:t>
            </w:r>
            <w:proofErr w:type="spellEnd"/>
          </w:p>
        </w:tc>
        <w:tc>
          <w:tcPr>
            <w:tcW w:w="429" w:type="pct"/>
          </w:tcPr>
          <w:p w14:paraId="05506263" w14:textId="77777777" w:rsidR="00717A66" w:rsidRPr="000827FC" w:rsidRDefault="00717A66" w:rsidP="00441677">
            <w:pPr>
              <w:rPr>
                <w:rFonts w:cs="Tahoma"/>
                <w:sz w:val="20"/>
                <w:szCs w:val="20"/>
                <w:lang w:val="en-US"/>
              </w:rPr>
            </w:pPr>
            <w:r w:rsidRPr="000827FC">
              <w:rPr>
                <w:rFonts w:cs="Tahoma"/>
                <w:sz w:val="20"/>
                <w:szCs w:val="20"/>
              </w:rPr>
              <w:t>Germany</w:t>
            </w:r>
          </w:p>
        </w:tc>
        <w:tc>
          <w:tcPr>
            <w:tcW w:w="475" w:type="pct"/>
          </w:tcPr>
          <w:p w14:paraId="77DB1221" w14:textId="77777777" w:rsidR="00717A66" w:rsidRPr="000827FC" w:rsidRDefault="00717A66" w:rsidP="00441677">
            <w:pPr>
              <w:jc w:val="center"/>
              <w:rPr>
                <w:rFonts w:cs="Tahoma"/>
                <w:sz w:val="20"/>
                <w:szCs w:val="20"/>
              </w:rPr>
            </w:pPr>
            <w:r w:rsidRPr="000827FC">
              <w:rPr>
                <w:rFonts w:cs="Tahoma"/>
                <w:sz w:val="20"/>
                <w:szCs w:val="20"/>
              </w:rPr>
              <w:t>NMI</w:t>
            </w:r>
          </w:p>
        </w:tc>
        <w:tc>
          <w:tcPr>
            <w:tcW w:w="1518" w:type="pct"/>
          </w:tcPr>
          <w:p w14:paraId="5ED340ED" w14:textId="68F193AA" w:rsidR="00717A66" w:rsidRPr="00164781" w:rsidRDefault="00717A66" w:rsidP="00441677">
            <w:pPr>
              <w:rPr>
                <w:rFonts w:cs="Tahoma"/>
                <w:sz w:val="20"/>
                <w:szCs w:val="20"/>
                <w:lang w:val="de-DE"/>
              </w:rPr>
            </w:pPr>
            <w:r w:rsidRPr="00164781">
              <w:rPr>
                <w:rFonts w:cs="Tahoma"/>
                <w:sz w:val="20"/>
                <w:szCs w:val="20"/>
                <w:lang w:val="de-DE"/>
              </w:rPr>
              <w:t xml:space="preserve">Dr. </w:t>
            </w:r>
            <w:r w:rsidR="00623329">
              <w:rPr>
                <w:rFonts w:cs="Tahoma"/>
                <w:sz w:val="20"/>
                <w:szCs w:val="20"/>
              </w:rPr>
              <w:t>Johann Meisner</w:t>
            </w:r>
            <w:r w:rsidR="00623329">
              <w:rPr>
                <w:rFonts w:cs="Tahoma"/>
                <w:sz w:val="20"/>
                <w:szCs w:val="20"/>
              </w:rPr>
              <w:br/>
            </w:r>
            <w:hyperlink r:id="rId15" w:history="1">
              <w:proofErr w:type="spellStart"/>
              <w:r w:rsidR="00623329" w:rsidRPr="00623329">
                <w:rPr>
                  <w:rStyle w:val="Hyperlink"/>
                  <w:rFonts w:cs="Tahoma"/>
                  <w:sz w:val="20"/>
                  <w:szCs w:val="20"/>
                  <w:lang w:val="de-DE"/>
                </w:rPr>
                <w:t>johann</w:t>
              </w:r>
              <w:proofErr w:type="spellEnd"/>
              <w:r w:rsidR="00623329" w:rsidRPr="00623329">
                <w:rPr>
                  <w:rStyle w:val="Hyperlink"/>
                  <w:rFonts w:cs="Tahoma"/>
                  <w:sz w:val="20"/>
                  <w:szCs w:val="20"/>
                </w:rPr>
                <w:t>.</w:t>
              </w:r>
              <w:proofErr w:type="spellStart"/>
              <w:r w:rsidR="00623329" w:rsidRPr="00623329">
                <w:rPr>
                  <w:rStyle w:val="Hyperlink"/>
                  <w:rFonts w:cs="Tahoma"/>
                  <w:sz w:val="20"/>
                  <w:szCs w:val="20"/>
                </w:rPr>
                <w:t>meisner</w:t>
              </w:r>
              <w:proofErr w:type="spellEnd"/>
              <w:r w:rsidR="00623329" w:rsidRPr="00623329">
                <w:rPr>
                  <w:rStyle w:val="Hyperlink"/>
                  <w:rFonts w:cs="Tahoma"/>
                  <w:sz w:val="20"/>
                  <w:szCs w:val="20"/>
                  <w:lang w:val="de-DE"/>
                </w:rPr>
                <w:t>@</w:t>
              </w:r>
              <w:proofErr w:type="spellStart"/>
              <w:r w:rsidR="00623329" w:rsidRPr="00623329">
                <w:rPr>
                  <w:rStyle w:val="Hyperlink"/>
                  <w:rFonts w:cs="Tahoma"/>
                  <w:sz w:val="20"/>
                  <w:szCs w:val="20"/>
                </w:rPr>
                <w:t>ptb</w:t>
              </w:r>
              <w:proofErr w:type="spellEnd"/>
              <w:r w:rsidR="00623329" w:rsidRPr="00623329">
                <w:rPr>
                  <w:rStyle w:val="Hyperlink"/>
                  <w:rFonts w:cs="Tahoma"/>
                  <w:sz w:val="20"/>
                  <w:szCs w:val="20"/>
                  <w:lang w:val="de-DE"/>
                </w:rPr>
                <w:t>.de</w:t>
              </w:r>
            </w:hyperlink>
            <w:r w:rsidR="00623329" w:rsidRPr="00164781">
              <w:rPr>
                <w:rFonts w:cs="Tahoma"/>
                <w:sz w:val="20"/>
                <w:szCs w:val="20"/>
                <w:lang w:val="de-DE"/>
              </w:rPr>
              <w:t xml:space="preserve"> </w:t>
            </w:r>
          </w:p>
        </w:tc>
      </w:tr>
      <w:tr w:rsidR="00717A66" w:rsidRPr="00494EA9" w14:paraId="1348AC91" w14:textId="77777777" w:rsidTr="00717A66">
        <w:tc>
          <w:tcPr>
            <w:tcW w:w="609" w:type="pct"/>
          </w:tcPr>
          <w:p w14:paraId="5742C89A" w14:textId="395089C8" w:rsidR="00717A66" w:rsidRPr="00717A66" w:rsidRDefault="00717A66" w:rsidP="00441677">
            <w:pPr>
              <w:rPr>
                <w:rFonts w:cs="Tahoma"/>
                <w:sz w:val="20"/>
                <w:szCs w:val="20"/>
              </w:rPr>
            </w:pPr>
            <w:r>
              <w:rPr>
                <w:rFonts w:cs="Tahoma"/>
                <w:sz w:val="20"/>
                <w:szCs w:val="20"/>
              </w:rPr>
              <w:t>TUBITAK</w:t>
            </w:r>
          </w:p>
        </w:tc>
        <w:tc>
          <w:tcPr>
            <w:tcW w:w="1970" w:type="pct"/>
          </w:tcPr>
          <w:p w14:paraId="3816B16F" w14:textId="77777777" w:rsidR="00717A66" w:rsidRPr="000827FC" w:rsidRDefault="00717A66" w:rsidP="00441677">
            <w:pPr>
              <w:rPr>
                <w:rFonts w:cs="Tahoma"/>
                <w:sz w:val="20"/>
                <w:szCs w:val="20"/>
              </w:rPr>
            </w:pPr>
            <w:proofErr w:type="spellStart"/>
            <w:r w:rsidRPr="000827FC">
              <w:rPr>
                <w:rFonts w:cs="Tahoma"/>
                <w:sz w:val="20"/>
                <w:szCs w:val="20"/>
              </w:rPr>
              <w:t>TÜBITAK</w:t>
            </w:r>
            <w:proofErr w:type="spellEnd"/>
            <w:r w:rsidRPr="000827FC">
              <w:rPr>
                <w:rFonts w:cs="Tahoma"/>
                <w:sz w:val="20"/>
                <w:szCs w:val="20"/>
              </w:rPr>
              <w:t xml:space="preserve"> </w:t>
            </w:r>
            <w:proofErr w:type="spellStart"/>
            <w:r w:rsidRPr="000827FC">
              <w:rPr>
                <w:rFonts w:cs="Tahoma"/>
                <w:sz w:val="20"/>
                <w:szCs w:val="20"/>
              </w:rPr>
              <w:t>Ulusal</w:t>
            </w:r>
            <w:proofErr w:type="spellEnd"/>
            <w:r w:rsidRPr="000827FC">
              <w:rPr>
                <w:rFonts w:cs="Tahoma"/>
                <w:sz w:val="20"/>
                <w:szCs w:val="20"/>
              </w:rPr>
              <w:t xml:space="preserve"> </w:t>
            </w:r>
            <w:proofErr w:type="spellStart"/>
            <w:r w:rsidRPr="000827FC">
              <w:rPr>
                <w:rFonts w:cs="Tahoma"/>
                <w:sz w:val="20"/>
                <w:szCs w:val="20"/>
              </w:rPr>
              <w:t>Metroloji</w:t>
            </w:r>
            <w:proofErr w:type="spellEnd"/>
            <w:r w:rsidRPr="000827FC">
              <w:rPr>
                <w:rFonts w:cs="Tahoma"/>
                <w:sz w:val="20"/>
                <w:szCs w:val="20"/>
              </w:rPr>
              <w:t xml:space="preserve"> </w:t>
            </w:r>
            <w:proofErr w:type="spellStart"/>
            <w:r w:rsidRPr="000827FC">
              <w:rPr>
                <w:rFonts w:cs="Tahoma"/>
                <w:sz w:val="20"/>
                <w:szCs w:val="20"/>
              </w:rPr>
              <w:t>Enstitüsü</w:t>
            </w:r>
            <w:proofErr w:type="spellEnd"/>
          </w:p>
        </w:tc>
        <w:tc>
          <w:tcPr>
            <w:tcW w:w="429" w:type="pct"/>
          </w:tcPr>
          <w:p w14:paraId="59A1C1F8" w14:textId="77777777" w:rsidR="00717A66" w:rsidRPr="000827FC" w:rsidRDefault="00717A66" w:rsidP="00441677">
            <w:pPr>
              <w:rPr>
                <w:rFonts w:cs="Tahoma"/>
                <w:sz w:val="20"/>
                <w:szCs w:val="20"/>
              </w:rPr>
            </w:pPr>
            <w:r w:rsidRPr="000827FC">
              <w:rPr>
                <w:rFonts w:cs="Tahoma"/>
                <w:sz w:val="20"/>
                <w:szCs w:val="20"/>
              </w:rPr>
              <w:t>Turkey</w:t>
            </w:r>
          </w:p>
        </w:tc>
        <w:tc>
          <w:tcPr>
            <w:tcW w:w="475" w:type="pct"/>
          </w:tcPr>
          <w:p w14:paraId="2D9B2E59" w14:textId="77777777" w:rsidR="00717A66" w:rsidRPr="000827FC" w:rsidRDefault="00717A66" w:rsidP="00441677">
            <w:pPr>
              <w:jc w:val="center"/>
              <w:rPr>
                <w:rFonts w:cs="Tahoma"/>
                <w:sz w:val="20"/>
                <w:szCs w:val="20"/>
              </w:rPr>
            </w:pPr>
            <w:r w:rsidRPr="000827FC">
              <w:rPr>
                <w:rFonts w:cs="Tahoma"/>
                <w:sz w:val="20"/>
                <w:szCs w:val="20"/>
              </w:rPr>
              <w:t>NMI</w:t>
            </w:r>
          </w:p>
        </w:tc>
        <w:tc>
          <w:tcPr>
            <w:tcW w:w="1518" w:type="pct"/>
          </w:tcPr>
          <w:p w14:paraId="047EE5F5" w14:textId="40781234" w:rsidR="00717A66" w:rsidRPr="00FD38C6" w:rsidRDefault="00717A66" w:rsidP="00441677">
            <w:pPr>
              <w:rPr>
                <w:rFonts w:cs="Tahoma"/>
                <w:sz w:val="20"/>
                <w:szCs w:val="20"/>
                <w:lang w:val="sv-SE"/>
              </w:rPr>
            </w:pPr>
            <w:r w:rsidRPr="00FD38C6">
              <w:rPr>
                <w:rFonts w:cs="Tahoma"/>
                <w:sz w:val="20"/>
                <w:szCs w:val="20"/>
                <w:lang w:val="sv-SE"/>
              </w:rPr>
              <w:t xml:space="preserve">Dr. Ahmet Merev </w:t>
            </w:r>
            <w:hyperlink r:id="rId16" w:history="1">
              <w:proofErr w:type="spellStart"/>
              <w:r w:rsidRPr="00FD38C6">
                <w:rPr>
                  <w:rStyle w:val="Hyperlink"/>
                  <w:rFonts w:cs="Tahoma"/>
                  <w:sz w:val="20"/>
                  <w:szCs w:val="20"/>
                  <w:lang w:val="sv-SE"/>
                </w:rPr>
                <w:t>ahmet.merev@tubitak.gov.tr</w:t>
              </w:r>
              <w:proofErr w:type="spellEnd"/>
            </w:hyperlink>
          </w:p>
        </w:tc>
      </w:tr>
      <w:tr w:rsidR="00717A66" w:rsidRPr="00494EA9" w14:paraId="2155E60A" w14:textId="77777777" w:rsidTr="00717A66">
        <w:tc>
          <w:tcPr>
            <w:tcW w:w="609" w:type="pct"/>
          </w:tcPr>
          <w:p w14:paraId="6610F1DE" w14:textId="0F979B31" w:rsidR="00717A66" w:rsidRPr="00717A66" w:rsidRDefault="00717A66" w:rsidP="00441677">
            <w:pPr>
              <w:rPr>
                <w:rFonts w:cs="Tahoma"/>
                <w:sz w:val="20"/>
                <w:szCs w:val="20"/>
              </w:rPr>
            </w:pPr>
            <w:r>
              <w:rPr>
                <w:rFonts w:cs="Tahoma"/>
                <w:sz w:val="20"/>
                <w:szCs w:val="20"/>
              </w:rPr>
              <w:t>VSL</w:t>
            </w:r>
          </w:p>
        </w:tc>
        <w:tc>
          <w:tcPr>
            <w:tcW w:w="1970" w:type="pct"/>
          </w:tcPr>
          <w:p w14:paraId="331BBE85" w14:textId="5DBE70DD" w:rsidR="00717A66" w:rsidRPr="000827FC" w:rsidRDefault="00717A66" w:rsidP="00441677">
            <w:pPr>
              <w:rPr>
                <w:rFonts w:cs="Tahoma"/>
                <w:sz w:val="20"/>
                <w:szCs w:val="20"/>
              </w:rPr>
            </w:pPr>
            <w:r w:rsidRPr="00717A66">
              <w:rPr>
                <w:sz w:val="20"/>
                <w:szCs w:val="20"/>
              </w:rPr>
              <w:t>VSL National Metrology Institute (VSL)</w:t>
            </w:r>
          </w:p>
        </w:tc>
        <w:tc>
          <w:tcPr>
            <w:tcW w:w="429" w:type="pct"/>
          </w:tcPr>
          <w:p w14:paraId="4A68CB3C" w14:textId="41817CBC" w:rsidR="00717A66" w:rsidRPr="00717A66" w:rsidRDefault="00717A66" w:rsidP="00441677">
            <w:pPr>
              <w:rPr>
                <w:rFonts w:cs="Tahoma"/>
                <w:sz w:val="20"/>
                <w:szCs w:val="20"/>
              </w:rPr>
            </w:pPr>
            <w:r>
              <w:rPr>
                <w:rFonts w:cs="Tahoma"/>
                <w:sz w:val="20"/>
                <w:szCs w:val="20"/>
              </w:rPr>
              <w:t>Netherlands</w:t>
            </w:r>
          </w:p>
        </w:tc>
        <w:tc>
          <w:tcPr>
            <w:tcW w:w="475" w:type="pct"/>
          </w:tcPr>
          <w:p w14:paraId="31498B3F" w14:textId="77777777" w:rsidR="00717A66" w:rsidRPr="000827FC" w:rsidRDefault="00717A66" w:rsidP="00441677">
            <w:pPr>
              <w:jc w:val="center"/>
              <w:rPr>
                <w:rFonts w:cs="Tahoma"/>
                <w:sz w:val="20"/>
                <w:szCs w:val="20"/>
              </w:rPr>
            </w:pPr>
            <w:r w:rsidRPr="000827FC">
              <w:rPr>
                <w:rFonts w:cs="Tahoma"/>
                <w:sz w:val="20"/>
                <w:szCs w:val="20"/>
              </w:rPr>
              <w:t>NMI</w:t>
            </w:r>
          </w:p>
        </w:tc>
        <w:tc>
          <w:tcPr>
            <w:tcW w:w="1518" w:type="pct"/>
          </w:tcPr>
          <w:p w14:paraId="75A04A78" w14:textId="3BC9A3D8" w:rsidR="00717A66" w:rsidRPr="009E53F4" w:rsidRDefault="00717A66" w:rsidP="00441677">
            <w:pPr>
              <w:rPr>
                <w:rFonts w:cs="Tahoma"/>
                <w:sz w:val="20"/>
                <w:szCs w:val="20"/>
                <w:lang w:val="de-DE"/>
              </w:rPr>
            </w:pPr>
            <w:r w:rsidRPr="00164781">
              <w:rPr>
                <w:rFonts w:cs="Tahoma"/>
                <w:sz w:val="20"/>
                <w:szCs w:val="20"/>
                <w:lang w:val="de-DE"/>
              </w:rPr>
              <w:t xml:space="preserve">Dr. Ernest Houtzager </w:t>
            </w:r>
            <w:hyperlink r:id="rId17" w:history="1">
              <w:proofErr w:type="spellStart"/>
              <w:r w:rsidRPr="00164781">
                <w:rPr>
                  <w:rStyle w:val="Hyperlink"/>
                  <w:rFonts w:cs="Tahoma"/>
                  <w:sz w:val="20"/>
                  <w:szCs w:val="20"/>
                  <w:lang w:val="de-DE"/>
                </w:rPr>
                <w:t>ehoutzager@vsl.nl</w:t>
              </w:r>
              <w:proofErr w:type="spellEnd"/>
            </w:hyperlink>
          </w:p>
        </w:tc>
      </w:tr>
    </w:tbl>
    <w:p w14:paraId="37885D58" w14:textId="29687161" w:rsidR="00137C7B" w:rsidRPr="009E53F4" w:rsidRDefault="00137C7B" w:rsidP="00137C7B">
      <w:pPr>
        <w:rPr>
          <w:lang w:val="de-DE"/>
        </w:rPr>
      </w:pPr>
    </w:p>
    <w:p w14:paraId="74811436" w14:textId="77777777" w:rsidR="00A73D19" w:rsidRPr="009E53F4" w:rsidRDefault="00A73D19" w:rsidP="004B18A0">
      <w:pPr>
        <w:rPr>
          <w:rFonts w:cs="Tahoma"/>
          <w:lang w:val="de-DE"/>
        </w:rPr>
      </w:pPr>
    </w:p>
    <w:p w14:paraId="3ADC820B" w14:textId="77777777" w:rsidR="004B18A0" w:rsidRDefault="004B18A0" w:rsidP="00B0205B">
      <w:pPr>
        <w:pStyle w:val="Heading2"/>
      </w:pPr>
      <w:r>
        <w:lastRenderedPageBreak/>
        <w:t>Time schedule</w:t>
      </w:r>
    </w:p>
    <w:p w14:paraId="3C0B9DE8" w14:textId="1D3B0E1E" w:rsidR="008E69F0" w:rsidRDefault="00717A66" w:rsidP="0073489E">
      <w:pPr>
        <w:spacing w:before="120"/>
        <w:rPr>
          <w:rFonts w:cs="Tahoma"/>
        </w:rPr>
      </w:pPr>
      <w:r>
        <w:rPr>
          <w:rFonts w:cs="Tahoma"/>
        </w:rPr>
        <w:t>Comparison measurement will be performed in February/March 2022 at RISE</w:t>
      </w:r>
      <w:r w:rsidR="00092CEF">
        <w:rPr>
          <w:rFonts w:cs="Tahoma"/>
        </w:rPr>
        <w:t xml:space="preserve"> according to the schedule shown below</w:t>
      </w:r>
      <w:r w:rsidR="008E69F0">
        <w:rPr>
          <w:rFonts w:cs="Tahoma"/>
        </w:rPr>
        <w:t>.</w:t>
      </w:r>
      <w:r w:rsidR="004B18A0">
        <w:rPr>
          <w:rFonts w:cs="Tahoma"/>
        </w:rPr>
        <w:t xml:space="preserve"> </w:t>
      </w:r>
    </w:p>
    <w:p w14:paraId="18EE06D4" w14:textId="77777777" w:rsidR="004B18A0" w:rsidRDefault="004B18A0" w:rsidP="004B18A0">
      <w:pPr>
        <w:rPr>
          <w:rFonts w:cs="Tahoma"/>
        </w:rPr>
      </w:pPr>
    </w:p>
    <w:p w14:paraId="7E88B506" w14:textId="77777777" w:rsidR="00832EA3" w:rsidRDefault="00832EA3" w:rsidP="00832EA3">
      <w:pPr>
        <w:jc w:val="center"/>
        <w:rPr>
          <w:rFonts w:cs="Tahoma"/>
          <w:lang w:val="en-US"/>
        </w:rPr>
      </w:pPr>
      <w:r w:rsidRPr="004B18A0">
        <w:rPr>
          <w:rFonts w:cs="Tahoma"/>
          <w:lang w:val="en-US"/>
        </w:rPr>
        <w:t>Timetable</w:t>
      </w:r>
    </w:p>
    <w:tbl>
      <w:tblPr>
        <w:tblW w:w="35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89"/>
        <w:gridCol w:w="1425"/>
        <w:gridCol w:w="1564"/>
      </w:tblGrid>
      <w:tr w:rsidR="00717A66" w:rsidRPr="004A27B0" w14:paraId="259FEFD9" w14:textId="77777777" w:rsidTr="00092CEF">
        <w:trPr>
          <w:jc w:val="center"/>
        </w:trPr>
        <w:tc>
          <w:tcPr>
            <w:tcW w:w="2657" w:type="pct"/>
          </w:tcPr>
          <w:p w14:paraId="162B64DF" w14:textId="6E30C56A" w:rsidR="00717A66" w:rsidRPr="00717A66" w:rsidRDefault="00717A66" w:rsidP="00450781">
            <w:pPr>
              <w:tabs>
                <w:tab w:val="left" w:pos="851"/>
                <w:tab w:val="left" w:pos="1843"/>
              </w:tabs>
              <w:jc w:val="both"/>
              <w:rPr>
                <w:rFonts w:cs="Tahoma"/>
                <w:b/>
                <w:bCs/>
                <w:sz w:val="20"/>
                <w:szCs w:val="20"/>
              </w:rPr>
            </w:pPr>
            <w:r>
              <w:rPr>
                <w:rFonts w:cs="Tahoma"/>
                <w:b/>
                <w:bCs/>
                <w:sz w:val="20"/>
                <w:szCs w:val="20"/>
              </w:rPr>
              <w:t>Action</w:t>
            </w:r>
          </w:p>
        </w:tc>
        <w:tc>
          <w:tcPr>
            <w:tcW w:w="1117" w:type="pct"/>
          </w:tcPr>
          <w:p w14:paraId="19C97C02" w14:textId="2DE6680A" w:rsidR="00717A66" w:rsidRPr="00717A66" w:rsidRDefault="00717A66" w:rsidP="00450781">
            <w:pPr>
              <w:tabs>
                <w:tab w:val="left" w:pos="851"/>
                <w:tab w:val="left" w:pos="1843"/>
              </w:tabs>
              <w:jc w:val="center"/>
              <w:rPr>
                <w:rFonts w:cs="Tahoma"/>
                <w:b/>
                <w:bCs/>
                <w:sz w:val="20"/>
                <w:szCs w:val="20"/>
              </w:rPr>
            </w:pPr>
            <w:r>
              <w:rPr>
                <w:rFonts w:cs="Tahoma"/>
                <w:b/>
                <w:bCs/>
                <w:sz w:val="20"/>
                <w:szCs w:val="20"/>
              </w:rPr>
              <w:t>Start</w:t>
            </w:r>
          </w:p>
        </w:tc>
        <w:tc>
          <w:tcPr>
            <w:tcW w:w="1226" w:type="pct"/>
          </w:tcPr>
          <w:p w14:paraId="61A706A8" w14:textId="4435DA62" w:rsidR="00717A66" w:rsidRPr="00717A66" w:rsidRDefault="00717A66" w:rsidP="00450781">
            <w:pPr>
              <w:tabs>
                <w:tab w:val="left" w:pos="851"/>
                <w:tab w:val="left" w:pos="1843"/>
              </w:tabs>
              <w:jc w:val="center"/>
              <w:rPr>
                <w:rFonts w:cs="Tahoma"/>
                <w:b/>
                <w:bCs/>
                <w:sz w:val="20"/>
                <w:szCs w:val="20"/>
              </w:rPr>
            </w:pPr>
            <w:r>
              <w:rPr>
                <w:rFonts w:cs="Tahoma"/>
                <w:b/>
                <w:bCs/>
                <w:sz w:val="20"/>
                <w:szCs w:val="20"/>
              </w:rPr>
              <w:t>Finish</w:t>
            </w:r>
          </w:p>
        </w:tc>
      </w:tr>
      <w:tr w:rsidR="00717A66" w:rsidRPr="004A27B0" w14:paraId="10C4EDB7" w14:textId="77777777" w:rsidTr="00092CEF">
        <w:trPr>
          <w:jc w:val="center"/>
        </w:trPr>
        <w:tc>
          <w:tcPr>
            <w:tcW w:w="2657" w:type="pct"/>
          </w:tcPr>
          <w:p w14:paraId="03C11A13" w14:textId="3A81D097" w:rsidR="00717A66" w:rsidRPr="00717A66" w:rsidRDefault="00717A66" w:rsidP="00D946D7">
            <w:pPr>
              <w:tabs>
                <w:tab w:val="left" w:pos="851"/>
                <w:tab w:val="left" w:pos="1843"/>
              </w:tabs>
              <w:jc w:val="both"/>
              <w:rPr>
                <w:rFonts w:cs="Tahoma"/>
                <w:sz w:val="20"/>
                <w:szCs w:val="20"/>
              </w:rPr>
            </w:pPr>
            <w:r>
              <w:rPr>
                <w:rFonts w:cs="Tahoma"/>
                <w:sz w:val="20"/>
                <w:szCs w:val="20"/>
              </w:rPr>
              <w:t>Arrival of dividers to RISE</w:t>
            </w:r>
          </w:p>
        </w:tc>
        <w:tc>
          <w:tcPr>
            <w:tcW w:w="1117" w:type="pct"/>
          </w:tcPr>
          <w:p w14:paraId="2211EDE5" w14:textId="62002DA4" w:rsidR="00717A66" w:rsidRPr="0080060E" w:rsidRDefault="00684238" w:rsidP="00450781">
            <w:pPr>
              <w:tabs>
                <w:tab w:val="left" w:pos="851"/>
                <w:tab w:val="left" w:pos="1843"/>
              </w:tabs>
              <w:jc w:val="center"/>
              <w:rPr>
                <w:rFonts w:cs="Tahoma"/>
                <w:sz w:val="20"/>
                <w:szCs w:val="20"/>
              </w:rPr>
            </w:pPr>
            <w:r w:rsidRPr="0080060E">
              <w:rPr>
                <w:rFonts w:cs="Tahoma"/>
                <w:sz w:val="20"/>
                <w:szCs w:val="20"/>
              </w:rPr>
              <w:t>20.01.2022</w:t>
            </w:r>
          </w:p>
        </w:tc>
        <w:tc>
          <w:tcPr>
            <w:tcW w:w="1226" w:type="pct"/>
          </w:tcPr>
          <w:p w14:paraId="24E03D5D" w14:textId="6DA3EC85" w:rsidR="00717A66" w:rsidRPr="0080060E" w:rsidRDefault="00684238" w:rsidP="00450781">
            <w:pPr>
              <w:tabs>
                <w:tab w:val="left" w:pos="851"/>
                <w:tab w:val="left" w:pos="1843"/>
              </w:tabs>
              <w:jc w:val="center"/>
              <w:rPr>
                <w:rFonts w:cs="Tahoma"/>
                <w:sz w:val="20"/>
                <w:szCs w:val="20"/>
                <w:lang w:val="sv-SE"/>
              </w:rPr>
            </w:pPr>
            <w:r w:rsidRPr="0080060E">
              <w:rPr>
                <w:rFonts w:cs="Tahoma"/>
                <w:sz w:val="20"/>
                <w:szCs w:val="20"/>
                <w:lang w:val="sv-SE"/>
              </w:rPr>
              <w:t>2</w:t>
            </w:r>
            <w:r w:rsidR="0080060E" w:rsidRPr="0080060E">
              <w:rPr>
                <w:rFonts w:cs="Tahoma"/>
                <w:sz w:val="20"/>
                <w:szCs w:val="20"/>
              </w:rPr>
              <w:t>2</w:t>
            </w:r>
            <w:r w:rsidRPr="0080060E">
              <w:rPr>
                <w:rFonts w:cs="Tahoma"/>
                <w:sz w:val="20"/>
                <w:szCs w:val="20"/>
                <w:lang w:val="sv-SE"/>
              </w:rPr>
              <w:t>.02.2022</w:t>
            </w:r>
          </w:p>
        </w:tc>
      </w:tr>
      <w:tr w:rsidR="00717A66" w:rsidRPr="004A27B0" w14:paraId="69F11995" w14:textId="77777777" w:rsidTr="00092CEF">
        <w:trPr>
          <w:jc w:val="center"/>
        </w:trPr>
        <w:tc>
          <w:tcPr>
            <w:tcW w:w="2657" w:type="pct"/>
          </w:tcPr>
          <w:p w14:paraId="6DE03176" w14:textId="2D845606" w:rsidR="00717A66" w:rsidRPr="0080060E" w:rsidRDefault="00717A66" w:rsidP="00450781">
            <w:pPr>
              <w:tabs>
                <w:tab w:val="left" w:pos="851"/>
                <w:tab w:val="left" w:pos="1843"/>
              </w:tabs>
              <w:jc w:val="both"/>
              <w:rPr>
                <w:rFonts w:cs="Tahoma"/>
                <w:sz w:val="20"/>
                <w:szCs w:val="20"/>
                <w:lang w:val="sv-SE"/>
              </w:rPr>
            </w:pPr>
            <w:r>
              <w:rPr>
                <w:rFonts w:cs="Tahoma"/>
                <w:sz w:val="20"/>
                <w:szCs w:val="20"/>
              </w:rPr>
              <w:t>Temperature stabilization</w:t>
            </w:r>
            <w:r w:rsidR="00684238">
              <w:rPr>
                <w:rFonts w:cs="Tahoma"/>
                <w:sz w:val="20"/>
                <w:szCs w:val="20"/>
                <w:lang w:val="sv-SE"/>
              </w:rPr>
              <w:t xml:space="preserve"> (7 days)</w:t>
            </w:r>
          </w:p>
        </w:tc>
        <w:tc>
          <w:tcPr>
            <w:tcW w:w="1117" w:type="pct"/>
          </w:tcPr>
          <w:p w14:paraId="4CD66D9C" w14:textId="10042DDB" w:rsidR="00717A66" w:rsidRPr="0080060E" w:rsidRDefault="00684238" w:rsidP="00450781">
            <w:pPr>
              <w:tabs>
                <w:tab w:val="left" w:pos="851"/>
                <w:tab w:val="left" w:pos="1843"/>
              </w:tabs>
              <w:jc w:val="center"/>
              <w:rPr>
                <w:rFonts w:cs="Tahoma"/>
                <w:sz w:val="20"/>
                <w:szCs w:val="20"/>
              </w:rPr>
            </w:pPr>
            <w:r w:rsidRPr="0080060E">
              <w:rPr>
                <w:rFonts w:cs="Tahoma"/>
                <w:sz w:val="20"/>
                <w:szCs w:val="20"/>
              </w:rPr>
              <w:t>14.01.2022</w:t>
            </w:r>
          </w:p>
        </w:tc>
        <w:tc>
          <w:tcPr>
            <w:tcW w:w="1226" w:type="pct"/>
          </w:tcPr>
          <w:p w14:paraId="5937C952" w14:textId="461D5072" w:rsidR="00717A66" w:rsidRPr="0080060E" w:rsidRDefault="0080060E" w:rsidP="00450781">
            <w:pPr>
              <w:tabs>
                <w:tab w:val="left" w:pos="851"/>
                <w:tab w:val="left" w:pos="1843"/>
              </w:tabs>
              <w:jc w:val="center"/>
              <w:rPr>
                <w:rFonts w:cs="Tahoma"/>
                <w:sz w:val="20"/>
                <w:szCs w:val="20"/>
                <w:lang w:val="sv-SE"/>
              </w:rPr>
            </w:pPr>
            <w:r>
              <w:rPr>
                <w:rFonts w:cs="Tahoma"/>
                <w:sz w:val="20"/>
                <w:szCs w:val="20"/>
              </w:rPr>
              <w:t>01</w:t>
            </w:r>
            <w:r w:rsidR="00684238" w:rsidRPr="0080060E">
              <w:rPr>
                <w:rFonts w:cs="Tahoma"/>
                <w:sz w:val="20"/>
                <w:szCs w:val="20"/>
                <w:lang w:val="sv-SE"/>
              </w:rPr>
              <w:t>.0</w:t>
            </w:r>
            <w:r>
              <w:rPr>
                <w:rFonts w:cs="Tahoma"/>
                <w:sz w:val="20"/>
                <w:szCs w:val="20"/>
              </w:rPr>
              <w:t>3</w:t>
            </w:r>
            <w:r w:rsidR="00684238" w:rsidRPr="0080060E">
              <w:rPr>
                <w:rFonts w:cs="Tahoma"/>
                <w:sz w:val="20"/>
                <w:szCs w:val="20"/>
                <w:lang w:val="sv-SE"/>
              </w:rPr>
              <w:t>.2022</w:t>
            </w:r>
          </w:p>
        </w:tc>
      </w:tr>
      <w:tr w:rsidR="00717A66" w:rsidRPr="004A27B0" w14:paraId="3B12C2FC" w14:textId="77777777" w:rsidTr="00092CEF">
        <w:trPr>
          <w:jc w:val="center"/>
        </w:trPr>
        <w:tc>
          <w:tcPr>
            <w:tcW w:w="2657" w:type="pct"/>
          </w:tcPr>
          <w:p w14:paraId="616F4776" w14:textId="49E2B7E7" w:rsidR="00717A66" w:rsidRPr="00717A66" w:rsidRDefault="00717A66" w:rsidP="00450781">
            <w:pPr>
              <w:tabs>
                <w:tab w:val="left" w:pos="851"/>
                <w:tab w:val="left" w:pos="1843"/>
              </w:tabs>
              <w:jc w:val="both"/>
              <w:rPr>
                <w:rFonts w:cs="Tahoma"/>
                <w:sz w:val="20"/>
                <w:szCs w:val="20"/>
              </w:rPr>
            </w:pPr>
            <w:r>
              <w:rPr>
                <w:rFonts w:cs="Tahoma"/>
                <w:sz w:val="20"/>
                <w:szCs w:val="20"/>
              </w:rPr>
              <w:t>2 GΩ measurements</w:t>
            </w:r>
          </w:p>
        </w:tc>
        <w:tc>
          <w:tcPr>
            <w:tcW w:w="1117" w:type="pct"/>
          </w:tcPr>
          <w:p w14:paraId="05156E03" w14:textId="5C2DFBAB" w:rsidR="00717A66" w:rsidRPr="0080060E" w:rsidRDefault="00684238" w:rsidP="00450781">
            <w:pPr>
              <w:tabs>
                <w:tab w:val="left" w:pos="851"/>
                <w:tab w:val="left" w:pos="1843"/>
              </w:tabs>
              <w:jc w:val="center"/>
              <w:rPr>
                <w:rFonts w:cs="Tahoma"/>
                <w:sz w:val="20"/>
                <w:szCs w:val="20"/>
                <w:lang w:val="sv-SE"/>
              </w:rPr>
            </w:pPr>
            <w:r w:rsidRPr="0080060E">
              <w:rPr>
                <w:rFonts w:cs="Tahoma"/>
                <w:sz w:val="20"/>
                <w:szCs w:val="20"/>
                <w:lang w:val="sv-SE"/>
              </w:rPr>
              <w:t>21.01.2022</w:t>
            </w:r>
          </w:p>
        </w:tc>
        <w:tc>
          <w:tcPr>
            <w:tcW w:w="1226" w:type="pct"/>
          </w:tcPr>
          <w:p w14:paraId="222A0B09" w14:textId="6B1CACC7" w:rsidR="00684238" w:rsidRPr="0080060E" w:rsidRDefault="00684238" w:rsidP="00684238">
            <w:pPr>
              <w:tabs>
                <w:tab w:val="left" w:pos="851"/>
                <w:tab w:val="left" w:pos="1843"/>
              </w:tabs>
              <w:jc w:val="center"/>
              <w:rPr>
                <w:rFonts w:cs="Tahoma"/>
                <w:sz w:val="20"/>
                <w:szCs w:val="20"/>
                <w:lang w:val="sv-SE"/>
              </w:rPr>
            </w:pPr>
            <w:r w:rsidRPr="0080060E">
              <w:rPr>
                <w:rFonts w:cs="Tahoma"/>
                <w:sz w:val="20"/>
                <w:szCs w:val="20"/>
                <w:lang w:val="sv-SE"/>
              </w:rPr>
              <w:t>0</w:t>
            </w:r>
            <w:r w:rsidR="0080060E">
              <w:rPr>
                <w:rFonts w:cs="Tahoma"/>
                <w:sz w:val="20"/>
                <w:szCs w:val="20"/>
              </w:rPr>
              <w:t>1</w:t>
            </w:r>
            <w:r w:rsidRPr="0080060E">
              <w:rPr>
                <w:rFonts w:cs="Tahoma"/>
                <w:sz w:val="20"/>
                <w:szCs w:val="20"/>
                <w:lang w:val="sv-SE"/>
              </w:rPr>
              <w:t>.03.2022</w:t>
            </w:r>
          </w:p>
        </w:tc>
      </w:tr>
      <w:tr w:rsidR="00717A66" w:rsidRPr="004A27B0" w14:paraId="74FCE21E" w14:textId="77777777" w:rsidTr="00092CEF">
        <w:trPr>
          <w:jc w:val="center"/>
        </w:trPr>
        <w:tc>
          <w:tcPr>
            <w:tcW w:w="2657" w:type="pct"/>
          </w:tcPr>
          <w:p w14:paraId="59CF1BBB" w14:textId="6DEE0687" w:rsidR="00717A66" w:rsidRPr="00092CEF" w:rsidRDefault="00092CEF" w:rsidP="00450781">
            <w:pPr>
              <w:tabs>
                <w:tab w:val="left" w:pos="851"/>
                <w:tab w:val="left" w:pos="1843"/>
              </w:tabs>
              <w:jc w:val="both"/>
              <w:rPr>
                <w:rFonts w:cs="Tahoma"/>
                <w:sz w:val="20"/>
                <w:szCs w:val="20"/>
              </w:rPr>
            </w:pPr>
            <w:r>
              <w:rPr>
                <w:rFonts w:cs="Tahoma"/>
                <w:sz w:val="20"/>
                <w:szCs w:val="20"/>
              </w:rPr>
              <w:t>200 kV scale factor measurements</w:t>
            </w:r>
          </w:p>
        </w:tc>
        <w:tc>
          <w:tcPr>
            <w:tcW w:w="1117" w:type="pct"/>
          </w:tcPr>
          <w:p w14:paraId="7967BB22" w14:textId="585006FF" w:rsidR="00717A66" w:rsidRPr="0080060E" w:rsidRDefault="00092CEF" w:rsidP="00450781">
            <w:pPr>
              <w:tabs>
                <w:tab w:val="left" w:pos="851"/>
                <w:tab w:val="left" w:pos="1843"/>
              </w:tabs>
              <w:jc w:val="center"/>
              <w:rPr>
                <w:rFonts w:cs="Tahoma"/>
                <w:sz w:val="20"/>
                <w:szCs w:val="20"/>
              </w:rPr>
            </w:pPr>
            <w:r w:rsidRPr="0080060E">
              <w:rPr>
                <w:rFonts w:cs="Tahoma"/>
                <w:sz w:val="20"/>
                <w:szCs w:val="20"/>
              </w:rPr>
              <w:t>7.</w:t>
            </w:r>
            <w:r w:rsidR="00684238" w:rsidRPr="0080060E">
              <w:rPr>
                <w:rFonts w:cs="Tahoma"/>
                <w:sz w:val="20"/>
                <w:szCs w:val="20"/>
                <w:lang w:val="sv-SE"/>
              </w:rPr>
              <w:t>0</w:t>
            </w:r>
            <w:r w:rsidRPr="0080060E">
              <w:rPr>
                <w:rFonts w:cs="Tahoma"/>
                <w:sz w:val="20"/>
                <w:szCs w:val="20"/>
              </w:rPr>
              <w:t>3.2022</w:t>
            </w:r>
          </w:p>
        </w:tc>
        <w:tc>
          <w:tcPr>
            <w:tcW w:w="1226" w:type="pct"/>
          </w:tcPr>
          <w:p w14:paraId="1B82FE44" w14:textId="1CFC946A" w:rsidR="00717A66" w:rsidRPr="0080060E" w:rsidRDefault="00092CEF" w:rsidP="00450781">
            <w:pPr>
              <w:tabs>
                <w:tab w:val="left" w:pos="851"/>
                <w:tab w:val="left" w:pos="1843"/>
              </w:tabs>
              <w:jc w:val="center"/>
              <w:rPr>
                <w:rFonts w:cs="Tahoma"/>
                <w:sz w:val="20"/>
                <w:szCs w:val="20"/>
              </w:rPr>
            </w:pPr>
            <w:r w:rsidRPr="0080060E">
              <w:rPr>
                <w:rFonts w:cs="Tahoma"/>
                <w:sz w:val="20"/>
                <w:szCs w:val="20"/>
              </w:rPr>
              <w:t>11.</w:t>
            </w:r>
            <w:r w:rsidR="00684238" w:rsidRPr="0080060E">
              <w:rPr>
                <w:rFonts w:cs="Tahoma"/>
                <w:sz w:val="20"/>
                <w:szCs w:val="20"/>
                <w:lang w:val="sv-SE"/>
              </w:rPr>
              <w:t>0</w:t>
            </w:r>
            <w:r w:rsidRPr="0080060E">
              <w:rPr>
                <w:rFonts w:cs="Tahoma"/>
                <w:sz w:val="20"/>
                <w:szCs w:val="20"/>
              </w:rPr>
              <w:t>3.2022</w:t>
            </w:r>
          </w:p>
        </w:tc>
      </w:tr>
      <w:tr w:rsidR="00717A66" w:rsidRPr="004A27B0" w14:paraId="3F152FDC" w14:textId="77777777" w:rsidTr="00092CEF">
        <w:trPr>
          <w:jc w:val="center"/>
        </w:trPr>
        <w:tc>
          <w:tcPr>
            <w:tcW w:w="2657" w:type="pct"/>
          </w:tcPr>
          <w:p w14:paraId="247B9A14" w14:textId="4F5B8A48" w:rsidR="00717A66" w:rsidRPr="00092CEF" w:rsidRDefault="00092CEF" w:rsidP="00450781">
            <w:pPr>
              <w:tabs>
                <w:tab w:val="left" w:pos="851"/>
                <w:tab w:val="left" w:pos="1843"/>
              </w:tabs>
              <w:jc w:val="both"/>
              <w:rPr>
                <w:rFonts w:cs="Tahoma"/>
                <w:sz w:val="20"/>
                <w:szCs w:val="20"/>
              </w:rPr>
            </w:pPr>
            <w:r>
              <w:rPr>
                <w:rFonts w:cs="Tahoma"/>
                <w:sz w:val="20"/>
                <w:szCs w:val="20"/>
              </w:rPr>
              <w:t>Divider departure from RISE</w:t>
            </w:r>
          </w:p>
        </w:tc>
        <w:tc>
          <w:tcPr>
            <w:tcW w:w="1117" w:type="pct"/>
          </w:tcPr>
          <w:p w14:paraId="34D2AA70" w14:textId="380A9B10" w:rsidR="00717A66" w:rsidRPr="0080060E" w:rsidRDefault="00092CEF" w:rsidP="00450781">
            <w:pPr>
              <w:tabs>
                <w:tab w:val="left" w:pos="851"/>
                <w:tab w:val="left" w:pos="1843"/>
              </w:tabs>
              <w:jc w:val="center"/>
              <w:rPr>
                <w:rFonts w:cs="Tahoma"/>
                <w:sz w:val="20"/>
                <w:szCs w:val="20"/>
              </w:rPr>
            </w:pPr>
            <w:r w:rsidRPr="0080060E">
              <w:rPr>
                <w:rFonts w:cs="Tahoma"/>
                <w:sz w:val="20"/>
                <w:szCs w:val="20"/>
              </w:rPr>
              <w:t>21.</w:t>
            </w:r>
            <w:r w:rsidR="00684238" w:rsidRPr="0080060E">
              <w:rPr>
                <w:rFonts w:cs="Tahoma"/>
                <w:sz w:val="20"/>
                <w:szCs w:val="20"/>
                <w:lang w:val="sv-SE"/>
              </w:rPr>
              <w:t>0</w:t>
            </w:r>
            <w:r w:rsidRPr="0080060E">
              <w:rPr>
                <w:rFonts w:cs="Tahoma"/>
                <w:sz w:val="20"/>
                <w:szCs w:val="20"/>
              </w:rPr>
              <w:t>3.2022</w:t>
            </w:r>
          </w:p>
        </w:tc>
        <w:tc>
          <w:tcPr>
            <w:tcW w:w="1226" w:type="pct"/>
          </w:tcPr>
          <w:p w14:paraId="10E154DF" w14:textId="70EC2154" w:rsidR="00717A66" w:rsidRPr="0080060E" w:rsidRDefault="00FD0D5C" w:rsidP="00450781">
            <w:pPr>
              <w:tabs>
                <w:tab w:val="left" w:pos="851"/>
                <w:tab w:val="left" w:pos="1843"/>
              </w:tabs>
              <w:jc w:val="center"/>
              <w:rPr>
                <w:rFonts w:cs="Tahoma"/>
                <w:sz w:val="20"/>
                <w:szCs w:val="20"/>
              </w:rPr>
            </w:pPr>
            <w:r>
              <w:rPr>
                <w:rFonts w:cs="Tahoma"/>
                <w:sz w:val="20"/>
                <w:szCs w:val="20"/>
              </w:rPr>
              <w:t>06.04.2022</w:t>
            </w:r>
          </w:p>
        </w:tc>
      </w:tr>
    </w:tbl>
    <w:p w14:paraId="5D95A85B" w14:textId="464DDEB5" w:rsidR="00281C8D" w:rsidRDefault="00281C8D" w:rsidP="00832EA3">
      <w:pPr>
        <w:jc w:val="center"/>
        <w:rPr>
          <w:rFonts w:cs="Tahoma"/>
          <w:lang w:val="en-US"/>
        </w:rPr>
      </w:pPr>
    </w:p>
    <w:p w14:paraId="105A4444" w14:textId="77777777" w:rsidR="00D14DCF" w:rsidRDefault="00D14DCF" w:rsidP="00D14DCF"/>
    <w:p w14:paraId="71F9970D" w14:textId="77777777" w:rsidR="004B18A0" w:rsidRDefault="004B18A0" w:rsidP="004B18A0"/>
    <w:p w14:paraId="0F24D053" w14:textId="77777777" w:rsidR="00357835" w:rsidRDefault="00357835" w:rsidP="00B0205B">
      <w:pPr>
        <w:pStyle w:val="Heading2"/>
      </w:pPr>
      <w:r>
        <w:t>Transportation</w:t>
      </w:r>
    </w:p>
    <w:p w14:paraId="0FC20446" w14:textId="161C7EC6" w:rsidR="00CC041F" w:rsidRDefault="00CC041F" w:rsidP="00092CEF">
      <w:pPr>
        <w:spacing w:before="120"/>
        <w:jc w:val="both"/>
        <w:rPr>
          <w:rFonts w:cs="Tahoma"/>
          <w:lang w:val="en-US"/>
        </w:rPr>
      </w:pPr>
      <w:r w:rsidRPr="00357835">
        <w:rPr>
          <w:rFonts w:cs="Tahoma"/>
          <w:lang w:val="en-US"/>
        </w:rPr>
        <w:t xml:space="preserve">Participants will be responsible for arranging transportation </w:t>
      </w:r>
      <w:r w:rsidR="00092CEF">
        <w:rPr>
          <w:rFonts w:cs="Tahoma"/>
        </w:rPr>
        <w:t xml:space="preserve">for their own divider to and from RISE. </w:t>
      </w:r>
    </w:p>
    <w:p w14:paraId="212AB9AA" w14:textId="77777777" w:rsidR="00AA6F87" w:rsidRPr="00357835" w:rsidRDefault="00AA6F87" w:rsidP="00AA6F87">
      <w:pPr>
        <w:spacing w:before="120"/>
        <w:jc w:val="both"/>
        <w:rPr>
          <w:rFonts w:cs="Tahoma"/>
          <w:lang w:val="en-US"/>
        </w:rPr>
      </w:pPr>
    </w:p>
    <w:p w14:paraId="598D110E" w14:textId="77777777" w:rsidR="00AA6F87" w:rsidRDefault="00AA6F87" w:rsidP="00B0205B">
      <w:pPr>
        <w:pStyle w:val="Heading2"/>
      </w:pPr>
      <w:r>
        <w:t>Financial aspects, insurance</w:t>
      </w:r>
    </w:p>
    <w:p w14:paraId="5BDACDE2" w14:textId="3F52F269" w:rsidR="001538FD" w:rsidRDefault="00AA6F87" w:rsidP="00AA6F87">
      <w:pPr>
        <w:spacing w:before="120"/>
        <w:jc w:val="both"/>
        <w:rPr>
          <w:rFonts w:cs="Tahoma"/>
          <w:lang w:val="en-US"/>
        </w:rPr>
      </w:pPr>
      <w:r w:rsidRPr="00CC041F">
        <w:rPr>
          <w:rFonts w:cs="Tahoma"/>
          <w:lang w:val="en-US"/>
        </w:rPr>
        <w:t>Each participating laboratory covers the costs of its</w:t>
      </w:r>
      <w:r w:rsidR="001538FD">
        <w:rPr>
          <w:rFonts w:cs="Tahoma"/>
          <w:lang w:val="en-US"/>
        </w:rPr>
        <w:t xml:space="preserve"> own labor</w:t>
      </w:r>
      <w:r w:rsidR="00092CEF">
        <w:rPr>
          <w:rFonts w:cs="Tahoma"/>
        </w:rPr>
        <w:t xml:space="preserve"> and </w:t>
      </w:r>
      <w:r w:rsidRPr="00CC041F">
        <w:rPr>
          <w:rFonts w:cs="Tahoma"/>
          <w:lang w:val="en-US"/>
        </w:rPr>
        <w:t>transportation</w:t>
      </w:r>
      <w:r w:rsidR="00092CEF">
        <w:rPr>
          <w:rFonts w:cs="Tahoma"/>
        </w:rPr>
        <w:t xml:space="preserve"> cost</w:t>
      </w:r>
      <w:r w:rsidR="001538FD">
        <w:rPr>
          <w:rFonts w:cs="Tahoma"/>
          <w:lang w:val="en-US"/>
        </w:rPr>
        <w:t>,</w:t>
      </w:r>
      <w:r w:rsidRPr="00CC041F">
        <w:rPr>
          <w:rFonts w:cs="Tahoma"/>
          <w:lang w:val="en-US"/>
        </w:rPr>
        <w:t xml:space="preserve"> </w:t>
      </w:r>
      <w:r w:rsidRPr="00D95A02">
        <w:rPr>
          <w:rFonts w:cs="Tahoma"/>
          <w:lang w:val="en-US"/>
        </w:rPr>
        <w:t xml:space="preserve">as well as of any </w:t>
      </w:r>
      <w:r w:rsidR="001538FD" w:rsidRPr="00D95A02">
        <w:rPr>
          <w:rFonts w:cs="Tahoma"/>
          <w:lang w:val="en-US"/>
        </w:rPr>
        <w:t xml:space="preserve">possible </w:t>
      </w:r>
      <w:r w:rsidRPr="00D95A02">
        <w:rPr>
          <w:rFonts w:cs="Tahoma"/>
          <w:lang w:val="en-US"/>
        </w:rPr>
        <w:t xml:space="preserve">damage </w:t>
      </w:r>
      <w:r w:rsidR="001538FD" w:rsidRPr="00D95A02">
        <w:rPr>
          <w:rFonts w:cs="Tahoma"/>
          <w:lang w:val="en-US"/>
        </w:rPr>
        <w:t>to their own equipment</w:t>
      </w:r>
      <w:r w:rsidR="001538FD">
        <w:rPr>
          <w:rFonts w:cs="Tahoma"/>
          <w:lang w:val="en-US"/>
        </w:rPr>
        <w:t>.</w:t>
      </w:r>
      <w:r w:rsidRPr="00CC041F">
        <w:rPr>
          <w:rFonts w:cs="Tahoma"/>
          <w:lang w:val="en-US"/>
        </w:rPr>
        <w:t xml:space="preserve"> </w:t>
      </w:r>
    </w:p>
    <w:p w14:paraId="1C8B16E1" w14:textId="3AA05EEF" w:rsidR="00B46B52" w:rsidRDefault="00B46B52" w:rsidP="008F62BB">
      <w:pPr>
        <w:tabs>
          <w:tab w:val="left" w:pos="851"/>
        </w:tabs>
        <w:ind w:left="1440"/>
        <w:jc w:val="both"/>
        <w:rPr>
          <w:rFonts w:cs="Tahoma"/>
          <w:lang w:val="en-US"/>
        </w:rPr>
      </w:pPr>
    </w:p>
    <w:p w14:paraId="37A9BDA2" w14:textId="77777777" w:rsidR="00944A8D" w:rsidRDefault="00944A8D" w:rsidP="008F62BB">
      <w:pPr>
        <w:pStyle w:val="BodyText2"/>
        <w:tabs>
          <w:tab w:val="left" w:pos="851"/>
        </w:tabs>
        <w:spacing w:before="60"/>
        <w:jc w:val="both"/>
        <w:rPr>
          <w:rFonts w:cs="Tahoma"/>
          <w:sz w:val="24"/>
          <w:lang w:val="en-US"/>
        </w:rPr>
      </w:pPr>
    </w:p>
    <w:p w14:paraId="098ECF15" w14:textId="046E265A" w:rsidR="002D6C86" w:rsidRPr="00A73D19" w:rsidRDefault="002D6C86" w:rsidP="00A31B2B">
      <w:pPr>
        <w:spacing w:after="0"/>
        <w:rPr>
          <w:lang w:val="en-US"/>
        </w:rPr>
      </w:pPr>
    </w:p>
    <w:sectPr w:rsidR="002D6C86" w:rsidRPr="00A73D19">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E7DFF" w14:textId="77777777" w:rsidR="00406E9E" w:rsidRDefault="00406E9E">
      <w:r>
        <w:separator/>
      </w:r>
    </w:p>
  </w:endnote>
  <w:endnote w:type="continuationSeparator" w:id="0">
    <w:p w14:paraId="2DA79DFF" w14:textId="77777777" w:rsidR="00406E9E" w:rsidRDefault="00406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9948" w14:textId="77777777" w:rsidR="00D946D7" w:rsidRDefault="00D946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2E7B" w14:textId="6A1AD8A6" w:rsidR="00D946D7" w:rsidRDefault="00D946D7">
    <w:pPr>
      <w:pStyle w:val="Footer"/>
      <w:jc w:val="right"/>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sidR="00CD0B60">
      <w:rPr>
        <w:rStyle w:val="PageNumber"/>
        <w:noProof/>
        <w:sz w:val="18"/>
      </w:rPr>
      <w:t>12</w:t>
    </w:r>
    <w:r>
      <w:rPr>
        <w:rStyle w:val="PageNumber"/>
        <w:sz w:val="18"/>
      </w:rPr>
      <w:fldChar w:fldCharType="end"/>
    </w:r>
    <w:r>
      <w:rPr>
        <w:rStyle w:val="PageNumber"/>
        <w:sz w:val="18"/>
      </w:rPr>
      <w:t xml:space="preserve"> of </w:t>
    </w:r>
    <w:r>
      <w:rPr>
        <w:rStyle w:val="PageNumber"/>
        <w:sz w:val="18"/>
      </w:rPr>
      <w:fldChar w:fldCharType="begin"/>
    </w:r>
    <w:r>
      <w:rPr>
        <w:rStyle w:val="PageNumber"/>
        <w:sz w:val="18"/>
      </w:rPr>
      <w:instrText xml:space="preserve"> NUMPAGES </w:instrText>
    </w:r>
    <w:r>
      <w:rPr>
        <w:rStyle w:val="PageNumber"/>
        <w:sz w:val="18"/>
      </w:rPr>
      <w:fldChar w:fldCharType="separate"/>
    </w:r>
    <w:r w:rsidR="00CD0B60">
      <w:rPr>
        <w:rStyle w:val="PageNumber"/>
        <w:noProof/>
        <w:sz w:val="18"/>
      </w:rPr>
      <w:t>12</w:t>
    </w:r>
    <w:r>
      <w:rPr>
        <w:rStyle w:val="PageNumbe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DAF7A" w14:textId="77777777" w:rsidR="00D946D7" w:rsidRDefault="00D94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10BFE" w14:textId="77777777" w:rsidR="00406E9E" w:rsidRDefault="00406E9E">
      <w:r>
        <w:separator/>
      </w:r>
    </w:p>
  </w:footnote>
  <w:footnote w:type="continuationSeparator" w:id="0">
    <w:p w14:paraId="063C18AB" w14:textId="77777777" w:rsidR="00406E9E" w:rsidRDefault="00406E9E">
      <w:r>
        <w:continuationSeparator/>
      </w:r>
    </w:p>
  </w:footnote>
  <w:footnote w:id="1">
    <w:p w14:paraId="141C2B4E" w14:textId="77777777" w:rsidR="009E53F4" w:rsidRPr="001C29C0" w:rsidRDefault="009E53F4" w:rsidP="009E53F4">
      <w:pPr>
        <w:pStyle w:val="FootnoteText"/>
      </w:pPr>
      <w:r>
        <w:rPr>
          <w:rStyle w:val="FootnoteReference"/>
        </w:rPr>
        <w:footnoteRef/>
      </w:r>
      <w:r>
        <w:t xml:space="preserve"> RISE Research Institutes of Sweden, </w:t>
      </w:r>
      <w:proofErr w:type="spellStart"/>
      <w:r>
        <w:t>Brinellgatan</w:t>
      </w:r>
      <w:proofErr w:type="spellEnd"/>
      <w:r>
        <w:t xml:space="preserve"> 4, 50115 Borås, Sweden</w:t>
      </w:r>
    </w:p>
  </w:footnote>
  <w:footnote w:id="2">
    <w:p w14:paraId="6CECAB27" w14:textId="38AB1039" w:rsidR="00D946D7" w:rsidRPr="001C29C0" w:rsidRDefault="00D946D7">
      <w:pPr>
        <w:pStyle w:val="FootnoteText"/>
      </w:pPr>
      <w:r>
        <w:rPr>
          <w:rStyle w:val="FootnoteReference"/>
        </w:rPr>
        <w:footnoteRef/>
      </w:r>
      <w:r>
        <w:t xml:space="preserve"> VTT Technical Research Centre of Finland, National Metrology Institute VTT MIKES, Tekniikantie 1, 02150 Espoo, Finland</w:t>
      </w:r>
    </w:p>
  </w:footnote>
  <w:footnote w:id="3">
    <w:p w14:paraId="0F61D3EA" w14:textId="7C91ED15" w:rsidR="00A44E05" w:rsidRPr="00A44E05" w:rsidRDefault="00A44E05">
      <w:pPr>
        <w:pStyle w:val="FootnoteText"/>
      </w:pPr>
      <w:r>
        <w:rPr>
          <w:rStyle w:val="FootnoteReference"/>
        </w:rPr>
        <w:footnoteRef/>
      </w:r>
      <w:r>
        <w:t xml:space="preserve"> </w:t>
      </w:r>
      <w:r w:rsidRPr="00717A66">
        <w:t>VSL National Metrology Institute</w:t>
      </w:r>
      <w:r>
        <w:t xml:space="preserve">, </w:t>
      </w:r>
      <w:r w:rsidRPr="00A44E05">
        <w:t xml:space="preserve">Thijsseweg 11, Delft 2629JA, </w:t>
      </w:r>
      <w:r>
        <w:t xml:space="preserve">The Netherlands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1339" w14:textId="77777777" w:rsidR="00D946D7" w:rsidRDefault="00D946D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38C54E3F" w14:textId="77777777" w:rsidR="00D946D7" w:rsidRDefault="00D946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1DDC" w14:textId="378275F6" w:rsidR="00D946D7" w:rsidRDefault="00D946D7">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9B832" w14:textId="77777777" w:rsidR="00D946D7" w:rsidRDefault="00D946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F23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5445E8"/>
    <w:multiLevelType w:val="hybridMultilevel"/>
    <w:tmpl w:val="4614E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049E4"/>
    <w:multiLevelType w:val="hybridMultilevel"/>
    <w:tmpl w:val="955420DE"/>
    <w:lvl w:ilvl="0" w:tplc="14CE9D06">
      <w:start w:val="2021"/>
      <w:numFmt w:val="bullet"/>
      <w:lvlText w:val="-"/>
      <w:lvlJc w:val="left"/>
      <w:pPr>
        <w:ind w:left="720" w:hanging="360"/>
      </w:pPr>
      <w:rPr>
        <w:rFonts w:ascii="Tahoma" w:eastAsia="Times New Roman" w:hAnsi="Tahoma" w:cs="Tahom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E56371B"/>
    <w:multiLevelType w:val="hybridMultilevel"/>
    <w:tmpl w:val="734A5060"/>
    <w:lvl w:ilvl="0" w:tplc="AF328FF0">
      <w:start w:val="1"/>
      <w:numFmt w:val="bullet"/>
      <w:lvlText w:val="-"/>
      <w:lvlJc w:val="left"/>
      <w:pPr>
        <w:ind w:left="720" w:hanging="360"/>
      </w:pPr>
      <w:rPr>
        <w:rFonts w:ascii="Tahoma" w:eastAsia="Times New Roman" w:hAnsi="Tahoma" w:cs="Tahom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30262C6"/>
    <w:multiLevelType w:val="hybridMultilevel"/>
    <w:tmpl w:val="71F4F9B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38453F9"/>
    <w:multiLevelType w:val="hybridMultilevel"/>
    <w:tmpl w:val="74B26CD2"/>
    <w:lvl w:ilvl="0" w:tplc="AF328FF0">
      <w:start w:val="1"/>
      <w:numFmt w:val="bullet"/>
      <w:lvlText w:val="-"/>
      <w:lvlJc w:val="left"/>
      <w:pPr>
        <w:ind w:left="360" w:hanging="360"/>
      </w:pPr>
      <w:rPr>
        <w:rFonts w:ascii="Tahoma" w:eastAsia="Times New Roman" w:hAnsi="Tahoma" w:cs="Tahoma"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1C1631B2"/>
    <w:multiLevelType w:val="hybridMultilevel"/>
    <w:tmpl w:val="617ADE36"/>
    <w:lvl w:ilvl="0" w:tplc="F0C07F98">
      <w:start w:val="4"/>
      <w:numFmt w:val="bullet"/>
      <w:lvlText w:val="-"/>
      <w:lvlJc w:val="left"/>
      <w:pPr>
        <w:ind w:left="720" w:hanging="360"/>
      </w:pPr>
      <w:rPr>
        <w:rFonts w:ascii="Tahoma" w:eastAsia="Times New Roman" w:hAnsi="Tahoma"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19E6D80"/>
    <w:multiLevelType w:val="hybridMultilevel"/>
    <w:tmpl w:val="4AC8571A"/>
    <w:lvl w:ilvl="0" w:tplc="FFC0FD26">
      <w:start w:val="1"/>
      <w:numFmt w:val="decimal"/>
      <w:pStyle w:val="Listnumbered"/>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F9F1F7A"/>
    <w:multiLevelType w:val="hybridMultilevel"/>
    <w:tmpl w:val="A3301C1C"/>
    <w:lvl w:ilvl="0" w:tplc="AF328FF0">
      <w:start w:val="2"/>
      <w:numFmt w:val="bullet"/>
      <w:lvlText w:val="-"/>
      <w:lvlJc w:val="left"/>
      <w:pPr>
        <w:ind w:left="720" w:hanging="360"/>
      </w:pPr>
      <w:rPr>
        <w:rFonts w:ascii="Tahoma" w:eastAsia="Times New Roman" w:hAnsi="Tahoma" w:cs="Tahom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1EC3BA4"/>
    <w:multiLevelType w:val="multilevel"/>
    <w:tmpl w:val="041D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50F34A8F"/>
    <w:multiLevelType w:val="hybridMultilevel"/>
    <w:tmpl w:val="3E5838F8"/>
    <w:lvl w:ilvl="0" w:tplc="2000000F">
      <w:start w:val="1"/>
      <w:numFmt w:val="decimal"/>
      <w:lvlText w:val="%1."/>
      <w:lvlJc w:val="left"/>
      <w:pPr>
        <w:ind w:left="360" w:hanging="360"/>
      </w:pPr>
      <w:rPr>
        <w:rFont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71410D15"/>
    <w:multiLevelType w:val="hybridMultilevel"/>
    <w:tmpl w:val="207C8DF8"/>
    <w:lvl w:ilvl="0" w:tplc="041D000F">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97768573">
    <w:abstractNumId w:val="7"/>
  </w:num>
  <w:num w:numId="2" w16cid:durableId="1053700013">
    <w:abstractNumId w:val="9"/>
  </w:num>
  <w:num w:numId="3" w16cid:durableId="1180899112">
    <w:abstractNumId w:val="0"/>
  </w:num>
  <w:num w:numId="4" w16cid:durableId="169373924">
    <w:abstractNumId w:val="9"/>
    <w:lvlOverride w:ilvl="0">
      <w:startOverride w:val="4"/>
    </w:lvlOverride>
    <w:lvlOverride w:ilvl="1">
      <w:startOverride w:val="1"/>
    </w:lvlOverride>
  </w:num>
  <w:num w:numId="5" w16cid:durableId="987055168">
    <w:abstractNumId w:val="6"/>
  </w:num>
  <w:num w:numId="6" w16cid:durableId="436218508">
    <w:abstractNumId w:val="4"/>
  </w:num>
  <w:num w:numId="7" w16cid:durableId="1552572768">
    <w:abstractNumId w:val="2"/>
  </w:num>
  <w:num w:numId="8" w16cid:durableId="798063442">
    <w:abstractNumId w:val="1"/>
  </w:num>
  <w:num w:numId="9" w16cid:durableId="1445465576">
    <w:abstractNumId w:val="11"/>
  </w:num>
  <w:num w:numId="10" w16cid:durableId="1589777628">
    <w:abstractNumId w:val="3"/>
  </w:num>
  <w:num w:numId="11" w16cid:durableId="926769946">
    <w:abstractNumId w:val="5"/>
  </w:num>
  <w:num w:numId="12" w16cid:durableId="1209536611">
    <w:abstractNumId w:val="10"/>
  </w:num>
  <w:num w:numId="13" w16cid:durableId="214160376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9BF"/>
    <w:rsid w:val="000006C2"/>
    <w:rsid w:val="000033DC"/>
    <w:rsid w:val="000036E3"/>
    <w:rsid w:val="000154CC"/>
    <w:rsid w:val="00022592"/>
    <w:rsid w:val="0002743D"/>
    <w:rsid w:val="00030113"/>
    <w:rsid w:val="00030FD5"/>
    <w:rsid w:val="0004053C"/>
    <w:rsid w:val="000463DC"/>
    <w:rsid w:val="00052AAF"/>
    <w:rsid w:val="000530F2"/>
    <w:rsid w:val="00054E2C"/>
    <w:rsid w:val="000607E9"/>
    <w:rsid w:val="00064218"/>
    <w:rsid w:val="00064D2E"/>
    <w:rsid w:val="00066E0F"/>
    <w:rsid w:val="00066E30"/>
    <w:rsid w:val="00070333"/>
    <w:rsid w:val="00071019"/>
    <w:rsid w:val="00072577"/>
    <w:rsid w:val="00074C07"/>
    <w:rsid w:val="00075329"/>
    <w:rsid w:val="00075849"/>
    <w:rsid w:val="00076BAD"/>
    <w:rsid w:val="00077F66"/>
    <w:rsid w:val="00080B20"/>
    <w:rsid w:val="0008402D"/>
    <w:rsid w:val="00092CEF"/>
    <w:rsid w:val="000945FC"/>
    <w:rsid w:val="000956D1"/>
    <w:rsid w:val="00096539"/>
    <w:rsid w:val="00097146"/>
    <w:rsid w:val="00097EF5"/>
    <w:rsid w:val="000A0214"/>
    <w:rsid w:val="000A119B"/>
    <w:rsid w:val="000A5985"/>
    <w:rsid w:val="000A7211"/>
    <w:rsid w:val="000B2467"/>
    <w:rsid w:val="000B2B15"/>
    <w:rsid w:val="000B7B6C"/>
    <w:rsid w:val="000C522C"/>
    <w:rsid w:val="000D15A3"/>
    <w:rsid w:val="000D2CD7"/>
    <w:rsid w:val="000D5385"/>
    <w:rsid w:val="000D7018"/>
    <w:rsid w:val="000D7438"/>
    <w:rsid w:val="000E60F2"/>
    <w:rsid w:val="000F3BA5"/>
    <w:rsid w:val="00103D59"/>
    <w:rsid w:val="001043E8"/>
    <w:rsid w:val="00104AF9"/>
    <w:rsid w:val="001064B7"/>
    <w:rsid w:val="0011162C"/>
    <w:rsid w:val="0011489C"/>
    <w:rsid w:val="00117EFA"/>
    <w:rsid w:val="00121975"/>
    <w:rsid w:val="00126889"/>
    <w:rsid w:val="001335BC"/>
    <w:rsid w:val="00137C7B"/>
    <w:rsid w:val="00142F10"/>
    <w:rsid w:val="0014762C"/>
    <w:rsid w:val="001538FD"/>
    <w:rsid w:val="0015445A"/>
    <w:rsid w:val="00154814"/>
    <w:rsid w:val="0015595F"/>
    <w:rsid w:val="00155D9A"/>
    <w:rsid w:val="0016282A"/>
    <w:rsid w:val="00162CF5"/>
    <w:rsid w:val="00164781"/>
    <w:rsid w:val="00167F85"/>
    <w:rsid w:val="0017305E"/>
    <w:rsid w:val="0018549D"/>
    <w:rsid w:val="001A4EF8"/>
    <w:rsid w:val="001B04EB"/>
    <w:rsid w:val="001B24BA"/>
    <w:rsid w:val="001C07E7"/>
    <w:rsid w:val="001C29C0"/>
    <w:rsid w:val="001C4260"/>
    <w:rsid w:val="001C6F2C"/>
    <w:rsid w:val="001D03F8"/>
    <w:rsid w:val="001D1363"/>
    <w:rsid w:val="001D2085"/>
    <w:rsid w:val="001D3214"/>
    <w:rsid w:val="001E161C"/>
    <w:rsid w:val="001E5C43"/>
    <w:rsid w:val="001F2169"/>
    <w:rsid w:val="001F3CBD"/>
    <w:rsid w:val="00203129"/>
    <w:rsid w:val="002031E2"/>
    <w:rsid w:val="00213AD8"/>
    <w:rsid w:val="0021608A"/>
    <w:rsid w:val="00221A1D"/>
    <w:rsid w:val="00223D2C"/>
    <w:rsid w:val="00226073"/>
    <w:rsid w:val="00231936"/>
    <w:rsid w:val="0023223B"/>
    <w:rsid w:val="002355EB"/>
    <w:rsid w:val="002369BD"/>
    <w:rsid w:val="00240C54"/>
    <w:rsid w:val="00241526"/>
    <w:rsid w:val="00243531"/>
    <w:rsid w:val="00243582"/>
    <w:rsid w:val="002471FB"/>
    <w:rsid w:val="002515D4"/>
    <w:rsid w:val="002524D6"/>
    <w:rsid w:val="00252A7D"/>
    <w:rsid w:val="00257432"/>
    <w:rsid w:val="00257A06"/>
    <w:rsid w:val="00261CF0"/>
    <w:rsid w:val="002626B5"/>
    <w:rsid w:val="00270136"/>
    <w:rsid w:val="00270362"/>
    <w:rsid w:val="0027097D"/>
    <w:rsid w:val="00272B11"/>
    <w:rsid w:val="00273F1E"/>
    <w:rsid w:val="002749E6"/>
    <w:rsid w:val="002765F8"/>
    <w:rsid w:val="00281C8D"/>
    <w:rsid w:val="0029075A"/>
    <w:rsid w:val="00295E00"/>
    <w:rsid w:val="00297770"/>
    <w:rsid w:val="002A3566"/>
    <w:rsid w:val="002A5E76"/>
    <w:rsid w:val="002A7A31"/>
    <w:rsid w:val="002B1330"/>
    <w:rsid w:val="002B293B"/>
    <w:rsid w:val="002C163B"/>
    <w:rsid w:val="002C2885"/>
    <w:rsid w:val="002C3D16"/>
    <w:rsid w:val="002C4AFC"/>
    <w:rsid w:val="002D0BAD"/>
    <w:rsid w:val="002D209D"/>
    <w:rsid w:val="002D2118"/>
    <w:rsid w:val="002D5068"/>
    <w:rsid w:val="002D58A7"/>
    <w:rsid w:val="002D62AC"/>
    <w:rsid w:val="002D6C86"/>
    <w:rsid w:val="002E00F3"/>
    <w:rsid w:val="002E0B9D"/>
    <w:rsid w:val="002E1DCF"/>
    <w:rsid w:val="002E4397"/>
    <w:rsid w:val="002E4DC5"/>
    <w:rsid w:val="002E5D58"/>
    <w:rsid w:val="002E7FCA"/>
    <w:rsid w:val="002F7BA5"/>
    <w:rsid w:val="003056CB"/>
    <w:rsid w:val="00307DF9"/>
    <w:rsid w:val="00310960"/>
    <w:rsid w:val="00313307"/>
    <w:rsid w:val="00317A92"/>
    <w:rsid w:val="00321F84"/>
    <w:rsid w:val="00323821"/>
    <w:rsid w:val="00333D1D"/>
    <w:rsid w:val="00333F70"/>
    <w:rsid w:val="00334B9E"/>
    <w:rsid w:val="003377CE"/>
    <w:rsid w:val="003413D6"/>
    <w:rsid w:val="0034140B"/>
    <w:rsid w:val="00341E5B"/>
    <w:rsid w:val="00352F3F"/>
    <w:rsid w:val="00353909"/>
    <w:rsid w:val="00357835"/>
    <w:rsid w:val="0036006A"/>
    <w:rsid w:val="003608E0"/>
    <w:rsid w:val="00364F22"/>
    <w:rsid w:val="0036543A"/>
    <w:rsid w:val="00365F11"/>
    <w:rsid w:val="00367A82"/>
    <w:rsid w:val="003735A5"/>
    <w:rsid w:val="0038112E"/>
    <w:rsid w:val="003842BE"/>
    <w:rsid w:val="003848C4"/>
    <w:rsid w:val="0038607F"/>
    <w:rsid w:val="003935D2"/>
    <w:rsid w:val="0039401D"/>
    <w:rsid w:val="003946C2"/>
    <w:rsid w:val="00397BE1"/>
    <w:rsid w:val="003A0312"/>
    <w:rsid w:val="003A2A8F"/>
    <w:rsid w:val="003A4387"/>
    <w:rsid w:val="003B2484"/>
    <w:rsid w:val="003B5627"/>
    <w:rsid w:val="003C1CA4"/>
    <w:rsid w:val="003C45EB"/>
    <w:rsid w:val="003C5B54"/>
    <w:rsid w:val="003C6284"/>
    <w:rsid w:val="003C703A"/>
    <w:rsid w:val="003D073A"/>
    <w:rsid w:val="003D2785"/>
    <w:rsid w:val="003D55AB"/>
    <w:rsid w:val="003D5FA1"/>
    <w:rsid w:val="003E062C"/>
    <w:rsid w:val="003E400D"/>
    <w:rsid w:val="003E50FE"/>
    <w:rsid w:val="003E651A"/>
    <w:rsid w:val="003E66C0"/>
    <w:rsid w:val="003F1679"/>
    <w:rsid w:val="003F1B98"/>
    <w:rsid w:val="003F3E21"/>
    <w:rsid w:val="003F4AE9"/>
    <w:rsid w:val="003F547E"/>
    <w:rsid w:val="003F6E2E"/>
    <w:rsid w:val="00404F39"/>
    <w:rsid w:val="00406E9E"/>
    <w:rsid w:val="00412234"/>
    <w:rsid w:val="00412867"/>
    <w:rsid w:val="00414FAD"/>
    <w:rsid w:val="004250BC"/>
    <w:rsid w:val="00427BD8"/>
    <w:rsid w:val="00433501"/>
    <w:rsid w:val="004335EA"/>
    <w:rsid w:val="00433AC1"/>
    <w:rsid w:val="00435681"/>
    <w:rsid w:val="00441677"/>
    <w:rsid w:val="00443B37"/>
    <w:rsid w:val="0044607E"/>
    <w:rsid w:val="00447A00"/>
    <w:rsid w:val="00450781"/>
    <w:rsid w:val="0045178C"/>
    <w:rsid w:val="00452E29"/>
    <w:rsid w:val="00464474"/>
    <w:rsid w:val="00466A97"/>
    <w:rsid w:val="00467EAB"/>
    <w:rsid w:val="004705AA"/>
    <w:rsid w:val="00477CF3"/>
    <w:rsid w:val="004813BA"/>
    <w:rsid w:val="00483D33"/>
    <w:rsid w:val="00484713"/>
    <w:rsid w:val="00486ABD"/>
    <w:rsid w:val="00486F5E"/>
    <w:rsid w:val="0049161A"/>
    <w:rsid w:val="00494266"/>
    <w:rsid w:val="00494EA9"/>
    <w:rsid w:val="00495FA7"/>
    <w:rsid w:val="004A01AA"/>
    <w:rsid w:val="004A1A9C"/>
    <w:rsid w:val="004A25EE"/>
    <w:rsid w:val="004A27B0"/>
    <w:rsid w:val="004A7B7F"/>
    <w:rsid w:val="004B18A0"/>
    <w:rsid w:val="004B5C90"/>
    <w:rsid w:val="004B624A"/>
    <w:rsid w:val="004C4489"/>
    <w:rsid w:val="004C5CB2"/>
    <w:rsid w:val="004D1409"/>
    <w:rsid w:val="004D31DA"/>
    <w:rsid w:val="004D7312"/>
    <w:rsid w:val="004E3DDC"/>
    <w:rsid w:val="004E402C"/>
    <w:rsid w:val="004E5634"/>
    <w:rsid w:val="004F62DE"/>
    <w:rsid w:val="00500F3F"/>
    <w:rsid w:val="0051209B"/>
    <w:rsid w:val="00512831"/>
    <w:rsid w:val="00514CC8"/>
    <w:rsid w:val="00515D22"/>
    <w:rsid w:val="0052068E"/>
    <w:rsid w:val="00522284"/>
    <w:rsid w:val="00522A24"/>
    <w:rsid w:val="005236AF"/>
    <w:rsid w:val="005260CC"/>
    <w:rsid w:val="005263AD"/>
    <w:rsid w:val="00527216"/>
    <w:rsid w:val="005278DD"/>
    <w:rsid w:val="0053071F"/>
    <w:rsid w:val="00536CD7"/>
    <w:rsid w:val="00541D24"/>
    <w:rsid w:val="00543703"/>
    <w:rsid w:val="0055490F"/>
    <w:rsid w:val="0055734E"/>
    <w:rsid w:val="005573E1"/>
    <w:rsid w:val="00557EE2"/>
    <w:rsid w:val="00563F81"/>
    <w:rsid w:val="00572F59"/>
    <w:rsid w:val="00581A90"/>
    <w:rsid w:val="00585061"/>
    <w:rsid w:val="00586D57"/>
    <w:rsid w:val="005874AC"/>
    <w:rsid w:val="005900CF"/>
    <w:rsid w:val="005934F9"/>
    <w:rsid w:val="00593DFE"/>
    <w:rsid w:val="005A2956"/>
    <w:rsid w:val="005A3B2A"/>
    <w:rsid w:val="005A4644"/>
    <w:rsid w:val="005A60AF"/>
    <w:rsid w:val="005A7934"/>
    <w:rsid w:val="005B06AC"/>
    <w:rsid w:val="005B2213"/>
    <w:rsid w:val="005B359B"/>
    <w:rsid w:val="005B7425"/>
    <w:rsid w:val="005C23C3"/>
    <w:rsid w:val="005C5C9F"/>
    <w:rsid w:val="005C751D"/>
    <w:rsid w:val="005D14DA"/>
    <w:rsid w:val="005D3448"/>
    <w:rsid w:val="005D3C66"/>
    <w:rsid w:val="005E6F4D"/>
    <w:rsid w:val="005E73B3"/>
    <w:rsid w:val="005E74C7"/>
    <w:rsid w:val="005F0D27"/>
    <w:rsid w:val="005F13B9"/>
    <w:rsid w:val="005F31E8"/>
    <w:rsid w:val="005F3382"/>
    <w:rsid w:val="005F3FA7"/>
    <w:rsid w:val="005F5070"/>
    <w:rsid w:val="005F6EC9"/>
    <w:rsid w:val="0060011C"/>
    <w:rsid w:val="00601E61"/>
    <w:rsid w:val="00603ECF"/>
    <w:rsid w:val="00605C86"/>
    <w:rsid w:val="00606490"/>
    <w:rsid w:val="006128EE"/>
    <w:rsid w:val="006208EC"/>
    <w:rsid w:val="00621FCF"/>
    <w:rsid w:val="006223BB"/>
    <w:rsid w:val="00622ADE"/>
    <w:rsid w:val="00623329"/>
    <w:rsid w:val="00626B48"/>
    <w:rsid w:val="00627112"/>
    <w:rsid w:val="0062762F"/>
    <w:rsid w:val="00627C75"/>
    <w:rsid w:val="00633F06"/>
    <w:rsid w:val="00634D2C"/>
    <w:rsid w:val="0064028D"/>
    <w:rsid w:val="00645412"/>
    <w:rsid w:val="006531B6"/>
    <w:rsid w:val="006551D4"/>
    <w:rsid w:val="00655309"/>
    <w:rsid w:val="0065646F"/>
    <w:rsid w:val="00661D65"/>
    <w:rsid w:val="0066734A"/>
    <w:rsid w:val="00667E07"/>
    <w:rsid w:val="00673755"/>
    <w:rsid w:val="0067798F"/>
    <w:rsid w:val="00680A79"/>
    <w:rsid w:val="00681A52"/>
    <w:rsid w:val="00684238"/>
    <w:rsid w:val="006955A4"/>
    <w:rsid w:val="006960E8"/>
    <w:rsid w:val="006A2B80"/>
    <w:rsid w:val="006A4573"/>
    <w:rsid w:val="006B14CB"/>
    <w:rsid w:val="006B744C"/>
    <w:rsid w:val="006C091B"/>
    <w:rsid w:val="006C41B6"/>
    <w:rsid w:val="006C61A9"/>
    <w:rsid w:val="006C6576"/>
    <w:rsid w:val="006C7F45"/>
    <w:rsid w:val="006D4271"/>
    <w:rsid w:val="006D746C"/>
    <w:rsid w:val="006E222A"/>
    <w:rsid w:val="006E314A"/>
    <w:rsid w:val="006E74D1"/>
    <w:rsid w:val="006F0CED"/>
    <w:rsid w:val="006F103A"/>
    <w:rsid w:val="006F3312"/>
    <w:rsid w:val="006F3DEE"/>
    <w:rsid w:val="006F4034"/>
    <w:rsid w:val="006F4333"/>
    <w:rsid w:val="006F4F94"/>
    <w:rsid w:val="006F5833"/>
    <w:rsid w:val="006F5858"/>
    <w:rsid w:val="006F5BF2"/>
    <w:rsid w:val="006F7349"/>
    <w:rsid w:val="00706314"/>
    <w:rsid w:val="00707ECE"/>
    <w:rsid w:val="00712408"/>
    <w:rsid w:val="007128D4"/>
    <w:rsid w:val="00714D10"/>
    <w:rsid w:val="00715510"/>
    <w:rsid w:val="00715C0E"/>
    <w:rsid w:val="007170FF"/>
    <w:rsid w:val="00717A66"/>
    <w:rsid w:val="00717CB1"/>
    <w:rsid w:val="0073489E"/>
    <w:rsid w:val="00736B22"/>
    <w:rsid w:val="0074183F"/>
    <w:rsid w:val="00762A95"/>
    <w:rsid w:val="00763D50"/>
    <w:rsid w:val="00765B83"/>
    <w:rsid w:val="00771A35"/>
    <w:rsid w:val="00772790"/>
    <w:rsid w:val="00774333"/>
    <w:rsid w:val="007776CA"/>
    <w:rsid w:val="00782E5C"/>
    <w:rsid w:val="00782F99"/>
    <w:rsid w:val="007871E5"/>
    <w:rsid w:val="00790189"/>
    <w:rsid w:val="007978D3"/>
    <w:rsid w:val="007A177F"/>
    <w:rsid w:val="007A1D4A"/>
    <w:rsid w:val="007A46E6"/>
    <w:rsid w:val="007B153C"/>
    <w:rsid w:val="007B2DE2"/>
    <w:rsid w:val="007C04B9"/>
    <w:rsid w:val="007C27F6"/>
    <w:rsid w:val="007C33C0"/>
    <w:rsid w:val="007C7E3D"/>
    <w:rsid w:val="007D71FB"/>
    <w:rsid w:val="007E35E3"/>
    <w:rsid w:val="007E3E8F"/>
    <w:rsid w:val="007E496F"/>
    <w:rsid w:val="007E67FC"/>
    <w:rsid w:val="007E7625"/>
    <w:rsid w:val="007E7A98"/>
    <w:rsid w:val="007F27F5"/>
    <w:rsid w:val="007F3E0A"/>
    <w:rsid w:val="007F60BB"/>
    <w:rsid w:val="007F6CD3"/>
    <w:rsid w:val="0080060E"/>
    <w:rsid w:val="00802187"/>
    <w:rsid w:val="00802EB9"/>
    <w:rsid w:val="00811BE0"/>
    <w:rsid w:val="008230E7"/>
    <w:rsid w:val="00823791"/>
    <w:rsid w:val="00823ECF"/>
    <w:rsid w:val="00825D29"/>
    <w:rsid w:val="008310BC"/>
    <w:rsid w:val="008310FB"/>
    <w:rsid w:val="00832EA3"/>
    <w:rsid w:val="008331BE"/>
    <w:rsid w:val="00834530"/>
    <w:rsid w:val="00835407"/>
    <w:rsid w:val="00836F88"/>
    <w:rsid w:val="00843CF5"/>
    <w:rsid w:val="00844024"/>
    <w:rsid w:val="00846201"/>
    <w:rsid w:val="00850495"/>
    <w:rsid w:val="00851498"/>
    <w:rsid w:val="008519C2"/>
    <w:rsid w:val="00853A92"/>
    <w:rsid w:val="00853D8E"/>
    <w:rsid w:val="00863603"/>
    <w:rsid w:val="00867F25"/>
    <w:rsid w:val="008726AB"/>
    <w:rsid w:val="00877D67"/>
    <w:rsid w:val="00883ED9"/>
    <w:rsid w:val="00884141"/>
    <w:rsid w:val="00884D0E"/>
    <w:rsid w:val="00884DC2"/>
    <w:rsid w:val="00885115"/>
    <w:rsid w:val="00887860"/>
    <w:rsid w:val="00892243"/>
    <w:rsid w:val="00894D7A"/>
    <w:rsid w:val="008950D1"/>
    <w:rsid w:val="008A1D27"/>
    <w:rsid w:val="008A7ECC"/>
    <w:rsid w:val="008B4C60"/>
    <w:rsid w:val="008B7307"/>
    <w:rsid w:val="008C08B9"/>
    <w:rsid w:val="008C1DF2"/>
    <w:rsid w:val="008C3E95"/>
    <w:rsid w:val="008C53AC"/>
    <w:rsid w:val="008D201F"/>
    <w:rsid w:val="008D507C"/>
    <w:rsid w:val="008D6347"/>
    <w:rsid w:val="008E6702"/>
    <w:rsid w:val="008E69F0"/>
    <w:rsid w:val="008F0E4D"/>
    <w:rsid w:val="008F4424"/>
    <w:rsid w:val="008F50AA"/>
    <w:rsid w:val="008F62BB"/>
    <w:rsid w:val="008F6D25"/>
    <w:rsid w:val="008F79B0"/>
    <w:rsid w:val="00902A55"/>
    <w:rsid w:val="00904FCC"/>
    <w:rsid w:val="00910990"/>
    <w:rsid w:val="00915D0C"/>
    <w:rsid w:val="00922FC1"/>
    <w:rsid w:val="00926391"/>
    <w:rsid w:val="00933C38"/>
    <w:rsid w:val="00940109"/>
    <w:rsid w:val="0094230B"/>
    <w:rsid w:val="00944A8D"/>
    <w:rsid w:val="00950CE7"/>
    <w:rsid w:val="009552B6"/>
    <w:rsid w:val="00956A0D"/>
    <w:rsid w:val="00961EFD"/>
    <w:rsid w:val="009625A0"/>
    <w:rsid w:val="009679A5"/>
    <w:rsid w:val="00971C95"/>
    <w:rsid w:val="00974821"/>
    <w:rsid w:val="0097550B"/>
    <w:rsid w:val="00975948"/>
    <w:rsid w:val="00976F7B"/>
    <w:rsid w:val="009856D1"/>
    <w:rsid w:val="0099111F"/>
    <w:rsid w:val="009918F8"/>
    <w:rsid w:val="00992019"/>
    <w:rsid w:val="00993ACC"/>
    <w:rsid w:val="009953F1"/>
    <w:rsid w:val="00996F3D"/>
    <w:rsid w:val="0099725C"/>
    <w:rsid w:val="009A0164"/>
    <w:rsid w:val="009A0A1C"/>
    <w:rsid w:val="009A13A8"/>
    <w:rsid w:val="009A22F7"/>
    <w:rsid w:val="009A43A0"/>
    <w:rsid w:val="009A49DC"/>
    <w:rsid w:val="009A51DA"/>
    <w:rsid w:val="009B2B22"/>
    <w:rsid w:val="009B4DD7"/>
    <w:rsid w:val="009B5386"/>
    <w:rsid w:val="009B7A64"/>
    <w:rsid w:val="009C6382"/>
    <w:rsid w:val="009C7402"/>
    <w:rsid w:val="009D3981"/>
    <w:rsid w:val="009D4B65"/>
    <w:rsid w:val="009D59BA"/>
    <w:rsid w:val="009D62F4"/>
    <w:rsid w:val="009D640B"/>
    <w:rsid w:val="009D718A"/>
    <w:rsid w:val="009E3EFF"/>
    <w:rsid w:val="009E50DA"/>
    <w:rsid w:val="009E516C"/>
    <w:rsid w:val="009E53F4"/>
    <w:rsid w:val="009E7152"/>
    <w:rsid w:val="009E7B61"/>
    <w:rsid w:val="009E7FF1"/>
    <w:rsid w:val="009F03C8"/>
    <w:rsid w:val="009F0DCA"/>
    <w:rsid w:val="009F1745"/>
    <w:rsid w:val="009F28F5"/>
    <w:rsid w:val="009F326E"/>
    <w:rsid w:val="009F5E4F"/>
    <w:rsid w:val="00A00F73"/>
    <w:rsid w:val="00A02C5B"/>
    <w:rsid w:val="00A03412"/>
    <w:rsid w:val="00A04F94"/>
    <w:rsid w:val="00A05290"/>
    <w:rsid w:val="00A06DDA"/>
    <w:rsid w:val="00A06E96"/>
    <w:rsid w:val="00A1000D"/>
    <w:rsid w:val="00A1590B"/>
    <w:rsid w:val="00A17C58"/>
    <w:rsid w:val="00A17FF4"/>
    <w:rsid w:val="00A20161"/>
    <w:rsid w:val="00A20E40"/>
    <w:rsid w:val="00A21B8E"/>
    <w:rsid w:val="00A2256B"/>
    <w:rsid w:val="00A23683"/>
    <w:rsid w:val="00A263BD"/>
    <w:rsid w:val="00A27DBD"/>
    <w:rsid w:val="00A31B2B"/>
    <w:rsid w:val="00A3482F"/>
    <w:rsid w:val="00A41342"/>
    <w:rsid w:val="00A41EE0"/>
    <w:rsid w:val="00A44177"/>
    <w:rsid w:val="00A447C0"/>
    <w:rsid w:val="00A44BF8"/>
    <w:rsid w:val="00A44E05"/>
    <w:rsid w:val="00A51A5E"/>
    <w:rsid w:val="00A51BC1"/>
    <w:rsid w:val="00A526D5"/>
    <w:rsid w:val="00A52BD0"/>
    <w:rsid w:val="00A52E85"/>
    <w:rsid w:val="00A555ED"/>
    <w:rsid w:val="00A63320"/>
    <w:rsid w:val="00A651FB"/>
    <w:rsid w:val="00A668FA"/>
    <w:rsid w:val="00A73A1B"/>
    <w:rsid w:val="00A73BAF"/>
    <w:rsid w:val="00A73C15"/>
    <w:rsid w:val="00A73C6A"/>
    <w:rsid w:val="00A73D19"/>
    <w:rsid w:val="00A74918"/>
    <w:rsid w:val="00A830C4"/>
    <w:rsid w:val="00A832D1"/>
    <w:rsid w:val="00A8463A"/>
    <w:rsid w:val="00A85102"/>
    <w:rsid w:val="00A85A13"/>
    <w:rsid w:val="00A87456"/>
    <w:rsid w:val="00A906F9"/>
    <w:rsid w:val="00A935EB"/>
    <w:rsid w:val="00A94C11"/>
    <w:rsid w:val="00AA020D"/>
    <w:rsid w:val="00AA6F87"/>
    <w:rsid w:val="00AB263D"/>
    <w:rsid w:val="00AB3DF8"/>
    <w:rsid w:val="00AB3E7A"/>
    <w:rsid w:val="00AB68D2"/>
    <w:rsid w:val="00AC0B95"/>
    <w:rsid w:val="00AC53D3"/>
    <w:rsid w:val="00AD3938"/>
    <w:rsid w:val="00AD481A"/>
    <w:rsid w:val="00AD68F9"/>
    <w:rsid w:val="00AD7C61"/>
    <w:rsid w:val="00AE23FD"/>
    <w:rsid w:val="00AE45C2"/>
    <w:rsid w:val="00AE7566"/>
    <w:rsid w:val="00AF02F0"/>
    <w:rsid w:val="00AF1251"/>
    <w:rsid w:val="00AF7C1F"/>
    <w:rsid w:val="00B0205B"/>
    <w:rsid w:val="00B0317C"/>
    <w:rsid w:val="00B05860"/>
    <w:rsid w:val="00B063D3"/>
    <w:rsid w:val="00B141A3"/>
    <w:rsid w:val="00B15776"/>
    <w:rsid w:val="00B20BF5"/>
    <w:rsid w:val="00B2405E"/>
    <w:rsid w:val="00B24D12"/>
    <w:rsid w:val="00B26359"/>
    <w:rsid w:val="00B27612"/>
    <w:rsid w:val="00B3075D"/>
    <w:rsid w:val="00B34850"/>
    <w:rsid w:val="00B35B9D"/>
    <w:rsid w:val="00B40948"/>
    <w:rsid w:val="00B41802"/>
    <w:rsid w:val="00B41B56"/>
    <w:rsid w:val="00B41C9B"/>
    <w:rsid w:val="00B41EEA"/>
    <w:rsid w:val="00B41FC5"/>
    <w:rsid w:val="00B42CFA"/>
    <w:rsid w:val="00B46435"/>
    <w:rsid w:val="00B46B52"/>
    <w:rsid w:val="00B46EC8"/>
    <w:rsid w:val="00B52BC1"/>
    <w:rsid w:val="00B52DE5"/>
    <w:rsid w:val="00B53DFF"/>
    <w:rsid w:val="00B5558F"/>
    <w:rsid w:val="00B55D52"/>
    <w:rsid w:val="00B5658E"/>
    <w:rsid w:val="00B56BFC"/>
    <w:rsid w:val="00B61BDE"/>
    <w:rsid w:val="00B636F2"/>
    <w:rsid w:val="00B70796"/>
    <w:rsid w:val="00B74FF7"/>
    <w:rsid w:val="00B779B1"/>
    <w:rsid w:val="00B80523"/>
    <w:rsid w:val="00B82A83"/>
    <w:rsid w:val="00B82BEF"/>
    <w:rsid w:val="00B84476"/>
    <w:rsid w:val="00B85987"/>
    <w:rsid w:val="00B8749F"/>
    <w:rsid w:val="00B90E98"/>
    <w:rsid w:val="00B949A6"/>
    <w:rsid w:val="00B955AE"/>
    <w:rsid w:val="00B964A9"/>
    <w:rsid w:val="00BA1D3D"/>
    <w:rsid w:val="00BA602D"/>
    <w:rsid w:val="00BB05AF"/>
    <w:rsid w:val="00BB6945"/>
    <w:rsid w:val="00BC01A3"/>
    <w:rsid w:val="00BC4702"/>
    <w:rsid w:val="00BC7A3C"/>
    <w:rsid w:val="00BD0FE5"/>
    <w:rsid w:val="00BD1CE1"/>
    <w:rsid w:val="00BE4D08"/>
    <w:rsid w:val="00BE5BB8"/>
    <w:rsid w:val="00BE6363"/>
    <w:rsid w:val="00BF1280"/>
    <w:rsid w:val="00BF4AEA"/>
    <w:rsid w:val="00BF4F10"/>
    <w:rsid w:val="00C0010C"/>
    <w:rsid w:val="00C009BF"/>
    <w:rsid w:val="00C0240C"/>
    <w:rsid w:val="00C0528A"/>
    <w:rsid w:val="00C1041C"/>
    <w:rsid w:val="00C1072F"/>
    <w:rsid w:val="00C12DF4"/>
    <w:rsid w:val="00C22FBA"/>
    <w:rsid w:val="00C23577"/>
    <w:rsid w:val="00C27583"/>
    <w:rsid w:val="00C27B72"/>
    <w:rsid w:val="00C41C4F"/>
    <w:rsid w:val="00C430D2"/>
    <w:rsid w:val="00C457A4"/>
    <w:rsid w:val="00C53AA3"/>
    <w:rsid w:val="00C54134"/>
    <w:rsid w:val="00C60DC6"/>
    <w:rsid w:val="00C6140D"/>
    <w:rsid w:val="00C620CA"/>
    <w:rsid w:val="00C65ED7"/>
    <w:rsid w:val="00C72B7D"/>
    <w:rsid w:val="00C72F33"/>
    <w:rsid w:val="00C74016"/>
    <w:rsid w:val="00C81704"/>
    <w:rsid w:val="00C84C1A"/>
    <w:rsid w:val="00C84F33"/>
    <w:rsid w:val="00C86903"/>
    <w:rsid w:val="00C9133B"/>
    <w:rsid w:val="00C9293B"/>
    <w:rsid w:val="00C93701"/>
    <w:rsid w:val="00CA15B7"/>
    <w:rsid w:val="00CA3588"/>
    <w:rsid w:val="00CA649B"/>
    <w:rsid w:val="00CB16A4"/>
    <w:rsid w:val="00CB53B1"/>
    <w:rsid w:val="00CC041F"/>
    <w:rsid w:val="00CC08B5"/>
    <w:rsid w:val="00CC0B90"/>
    <w:rsid w:val="00CC304D"/>
    <w:rsid w:val="00CD0312"/>
    <w:rsid w:val="00CD0B46"/>
    <w:rsid w:val="00CD0B60"/>
    <w:rsid w:val="00CD10A2"/>
    <w:rsid w:val="00CD1F3D"/>
    <w:rsid w:val="00CD4E7B"/>
    <w:rsid w:val="00CE12CA"/>
    <w:rsid w:val="00CE1D25"/>
    <w:rsid w:val="00CE28EA"/>
    <w:rsid w:val="00CE3FA8"/>
    <w:rsid w:val="00CE5E0B"/>
    <w:rsid w:val="00CE64D3"/>
    <w:rsid w:val="00CE74CA"/>
    <w:rsid w:val="00CF05F1"/>
    <w:rsid w:val="00CF4734"/>
    <w:rsid w:val="00D00BB0"/>
    <w:rsid w:val="00D060A5"/>
    <w:rsid w:val="00D07E42"/>
    <w:rsid w:val="00D14AE0"/>
    <w:rsid w:val="00D14DCF"/>
    <w:rsid w:val="00D21B3B"/>
    <w:rsid w:val="00D23036"/>
    <w:rsid w:val="00D23571"/>
    <w:rsid w:val="00D23B92"/>
    <w:rsid w:val="00D23C4C"/>
    <w:rsid w:val="00D2689F"/>
    <w:rsid w:val="00D2713C"/>
    <w:rsid w:val="00D27E80"/>
    <w:rsid w:val="00D31154"/>
    <w:rsid w:val="00D31C05"/>
    <w:rsid w:val="00D37491"/>
    <w:rsid w:val="00D41881"/>
    <w:rsid w:val="00D4369B"/>
    <w:rsid w:val="00D45DCC"/>
    <w:rsid w:val="00D46913"/>
    <w:rsid w:val="00D5091D"/>
    <w:rsid w:val="00D50A2F"/>
    <w:rsid w:val="00D50A67"/>
    <w:rsid w:val="00D50F83"/>
    <w:rsid w:val="00D54653"/>
    <w:rsid w:val="00D553BC"/>
    <w:rsid w:val="00D606B7"/>
    <w:rsid w:val="00D612A4"/>
    <w:rsid w:val="00D619CC"/>
    <w:rsid w:val="00D652B2"/>
    <w:rsid w:val="00D65A7D"/>
    <w:rsid w:val="00D706BD"/>
    <w:rsid w:val="00D70B4A"/>
    <w:rsid w:val="00D7313A"/>
    <w:rsid w:val="00D73E1A"/>
    <w:rsid w:val="00D77A3A"/>
    <w:rsid w:val="00D80C39"/>
    <w:rsid w:val="00D836D9"/>
    <w:rsid w:val="00D84CFD"/>
    <w:rsid w:val="00D85E14"/>
    <w:rsid w:val="00D915F4"/>
    <w:rsid w:val="00D92D74"/>
    <w:rsid w:val="00D9311B"/>
    <w:rsid w:val="00D946D7"/>
    <w:rsid w:val="00D95A02"/>
    <w:rsid w:val="00DA104D"/>
    <w:rsid w:val="00DA4B10"/>
    <w:rsid w:val="00DB0A63"/>
    <w:rsid w:val="00DB29BB"/>
    <w:rsid w:val="00DB688B"/>
    <w:rsid w:val="00DB7379"/>
    <w:rsid w:val="00DC0CE9"/>
    <w:rsid w:val="00DC4076"/>
    <w:rsid w:val="00DC4152"/>
    <w:rsid w:val="00DD5CB9"/>
    <w:rsid w:val="00DD6C4A"/>
    <w:rsid w:val="00DF03DF"/>
    <w:rsid w:val="00DF0979"/>
    <w:rsid w:val="00DF0EBC"/>
    <w:rsid w:val="00DF2A88"/>
    <w:rsid w:val="00DF435E"/>
    <w:rsid w:val="00DF742B"/>
    <w:rsid w:val="00E03FDF"/>
    <w:rsid w:val="00E07F77"/>
    <w:rsid w:val="00E10C70"/>
    <w:rsid w:val="00E11406"/>
    <w:rsid w:val="00E156C2"/>
    <w:rsid w:val="00E15B8D"/>
    <w:rsid w:val="00E1660D"/>
    <w:rsid w:val="00E17994"/>
    <w:rsid w:val="00E20358"/>
    <w:rsid w:val="00E21AFC"/>
    <w:rsid w:val="00E27560"/>
    <w:rsid w:val="00E31DCE"/>
    <w:rsid w:val="00E33A15"/>
    <w:rsid w:val="00E42298"/>
    <w:rsid w:val="00E445FD"/>
    <w:rsid w:val="00E4577D"/>
    <w:rsid w:val="00E45D8B"/>
    <w:rsid w:val="00E509F0"/>
    <w:rsid w:val="00E575BC"/>
    <w:rsid w:val="00E61242"/>
    <w:rsid w:val="00E63651"/>
    <w:rsid w:val="00E63A18"/>
    <w:rsid w:val="00E65C61"/>
    <w:rsid w:val="00E66EB9"/>
    <w:rsid w:val="00E80B69"/>
    <w:rsid w:val="00E81107"/>
    <w:rsid w:val="00E83BDF"/>
    <w:rsid w:val="00E85E30"/>
    <w:rsid w:val="00E86A43"/>
    <w:rsid w:val="00E914D0"/>
    <w:rsid w:val="00E95659"/>
    <w:rsid w:val="00E95CB7"/>
    <w:rsid w:val="00E96467"/>
    <w:rsid w:val="00E9706A"/>
    <w:rsid w:val="00EA0C62"/>
    <w:rsid w:val="00EA0C65"/>
    <w:rsid w:val="00EA1A92"/>
    <w:rsid w:val="00EA2741"/>
    <w:rsid w:val="00EA3D8C"/>
    <w:rsid w:val="00EA3ED0"/>
    <w:rsid w:val="00EA518C"/>
    <w:rsid w:val="00EA57FD"/>
    <w:rsid w:val="00EA769A"/>
    <w:rsid w:val="00EB0505"/>
    <w:rsid w:val="00EB1C6B"/>
    <w:rsid w:val="00EC3396"/>
    <w:rsid w:val="00ED4433"/>
    <w:rsid w:val="00EE0E41"/>
    <w:rsid w:val="00EF129A"/>
    <w:rsid w:val="00EF2BBA"/>
    <w:rsid w:val="00EF30EE"/>
    <w:rsid w:val="00EF4F71"/>
    <w:rsid w:val="00EF5ECE"/>
    <w:rsid w:val="00F02F56"/>
    <w:rsid w:val="00F03F12"/>
    <w:rsid w:val="00F04B0A"/>
    <w:rsid w:val="00F06B67"/>
    <w:rsid w:val="00F06ED8"/>
    <w:rsid w:val="00F073EF"/>
    <w:rsid w:val="00F10557"/>
    <w:rsid w:val="00F1368A"/>
    <w:rsid w:val="00F14333"/>
    <w:rsid w:val="00F26B78"/>
    <w:rsid w:val="00F27208"/>
    <w:rsid w:val="00F32270"/>
    <w:rsid w:val="00F3333A"/>
    <w:rsid w:val="00F36C8E"/>
    <w:rsid w:val="00F407C1"/>
    <w:rsid w:val="00F429D0"/>
    <w:rsid w:val="00F4307B"/>
    <w:rsid w:val="00F44E26"/>
    <w:rsid w:val="00F45465"/>
    <w:rsid w:val="00F50058"/>
    <w:rsid w:val="00F528F1"/>
    <w:rsid w:val="00F573D5"/>
    <w:rsid w:val="00F616A7"/>
    <w:rsid w:val="00F626DF"/>
    <w:rsid w:val="00F63839"/>
    <w:rsid w:val="00F709D0"/>
    <w:rsid w:val="00F7508D"/>
    <w:rsid w:val="00F80925"/>
    <w:rsid w:val="00F90DA9"/>
    <w:rsid w:val="00F91B3D"/>
    <w:rsid w:val="00F940B8"/>
    <w:rsid w:val="00F94DB4"/>
    <w:rsid w:val="00F96489"/>
    <w:rsid w:val="00F9742E"/>
    <w:rsid w:val="00FA24C9"/>
    <w:rsid w:val="00FA4CD0"/>
    <w:rsid w:val="00FA5A8C"/>
    <w:rsid w:val="00FB073C"/>
    <w:rsid w:val="00FB133C"/>
    <w:rsid w:val="00FB2A70"/>
    <w:rsid w:val="00FC52FD"/>
    <w:rsid w:val="00FC5A06"/>
    <w:rsid w:val="00FC6FF1"/>
    <w:rsid w:val="00FD0D5C"/>
    <w:rsid w:val="00FD3279"/>
    <w:rsid w:val="00FD38C6"/>
    <w:rsid w:val="00FD710F"/>
    <w:rsid w:val="00FE23EE"/>
    <w:rsid w:val="00FE3690"/>
    <w:rsid w:val="00FE4A46"/>
    <w:rsid w:val="00FF232C"/>
    <w:rsid w:val="00FF47B2"/>
    <w:rsid w:val="00FF5623"/>
    <w:rsid w:val="00FF6F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1104B8"/>
  <w15:docId w15:val="{86F068FE-ACF5-4626-A949-BE6B9A878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56D1"/>
    <w:pPr>
      <w:spacing w:after="120"/>
    </w:pPr>
    <w:rPr>
      <w:rFonts w:ascii="Tahoma" w:hAnsi="Tahoma"/>
      <w:sz w:val="22"/>
      <w:szCs w:val="24"/>
      <w:lang w:val="en-GB" w:eastAsia="cs-CZ"/>
    </w:rPr>
  </w:style>
  <w:style w:type="paragraph" w:styleId="Heading1">
    <w:name w:val="heading 1"/>
    <w:basedOn w:val="Normal"/>
    <w:next w:val="Normal"/>
    <w:qFormat/>
    <w:rsid w:val="00F91B3D"/>
    <w:pPr>
      <w:keepNext/>
      <w:numPr>
        <w:numId w:val="2"/>
      </w:numPr>
      <w:spacing w:before="240"/>
      <w:ind w:left="431" w:hanging="431"/>
      <w:outlineLvl w:val="0"/>
    </w:pPr>
    <w:rPr>
      <w:b/>
      <w:bCs/>
      <w:sz w:val="28"/>
      <w:lang w:val="en-US"/>
    </w:rPr>
  </w:style>
  <w:style w:type="paragraph" w:styleId="Heading2">
    <w:name w:val="heading 2"/>
    <w:basedOn w:val="Normal"/>
    <w:next w:val="Normal"/>
    <w:qFormat/>
    <w:rsid w:val="00F91B3D"/>
    <w:pPr>
      <w:keepNext/>
      <w:numPr>
        <w:ilvl w:val="1"/>
        <w:numId w:val="2"/>
      </w:numPr>
      <w:ind w:left="578" w:hanging="578"/>
      <w:outlineLvl w:val="1"/>
    </w:pPr>
    <w:rPr>
      <w:b/>
      <w:bCs/>
      <w:lang w:val="en-US"/>
    </w:rPr>
  </w:style>
  <w:style w:type="paragraph" w:styleId="Heading3">
    <w:name w:val="heading 3"/>
    <w:basedOn w:val="Normal"/>
    <w:next w:val="Normal"/>
    <w:qFormat/>
    <w:pPr>
      <w:keepNext/>
      <w:numPr>
        <w:ilvl w:val="2"/>
        <w:numId w:val="2"/>
      </w:numPr>
      <w:jc w:val="center"/>
      <w:outlineLvl w:val="2"/>
    </w:pPr>
    <w:rPr>
      <w:b/>
      <w:i/>
      <w:iCs/>
      <w:lang w:val="de-DE"/>
    </w:rPr>
  </w:style>
  <w:style w:type="paragraph" w:styleId="Heading4">
    <w:name w:val="heading 4"/>
    <w:basedOn w:val="Normal"/>
    <w:next w:val="Normal"/>
    <w:qFormat/>
    <w:pPr>
      <w:keepNext/>
      <w:numPr>
        <w:ilvl w:val="3"/>
        <w:numId w:val="2"/>
      </w:numPr>
      <w:overflowPunct w:val="0"/>
      <w:autoSpaceDE w:val="0"/>
      <w:autoSpaceDN w:val="0"/>
      <w:adjustRightInd w:val="0"/>
      <w:jc w:val="both"/>
      <w:textAlignment w:val="baseline"/>
      <w:outlineLvl w:val="3"/>
    </w:pPr>
    <w:rPr>
      <w:szCs w:val="20"/>
    </w:rPr>
  </w:style>
  <w:style w:type="paragraph" w:styleId="Heading5">
    <w:name w:val="heading 5"/>
    <w:basedOn w:val="Normal"/>
    <w:next w:val="Normal"/>
    <w:qFormat/>
    <w:pPr>
      <w:keepNext/>
      <w:numPr>
        <w:ilvl w:val="4"/>
        <w:numId w:val="2"/>
      </w:numPr>
      <w:jc w:val="center"/>
      <w:outlineLvl w:val="4"/>
    </w:pPr>
    <w:rPr>
      <w:sz w:val="28"/>
      <w:lang w:val="en-US"/>
    </w:rPr>
  </w:style>
  <w:style w:type="paragraph" w:styleId="Heading6">
    <w:name w:val="heading 6"/>
    <w:basedOn w:val="Normal"/>
    <w:next w:val="Normal"/>
    <w:link w:val="Heading6Char"/>
    <w:semiHidden/>
    <w:unhideWhenUsed/>
    <w:qFormat/>
    <w:rsid w:val="00E85E30"/>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E85E30"/>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E85E30"/>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E85E30"/>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536"/>
        <w:tab w:val="right" w:pos="9072"/>
      </w:tabs>
    </w:pPr>
    <w:rPr>
      <w:rFonts w:ascii="Arial" w:hAnsi="Arial"/>
      <w:sz w:val="20"/>
      <w:szCs w:val="20"/>
      <w:lang w:val="de-DE"/>
    </w:rPr>
  </w:style>
  <w:style w:type="paragraph" w:styleId="BodyText">
    <w:name w:val="Body Text"/>
    <w:basedOn w:val="Normal"/>
    <w:rPr>
      <w:rFonts w:ascii="Arial" w:hAnsi="Arial"/>
      <w:i/>
      <w:szCs w:val="20"/>
    </w:rPr>
  </w:style>
  <w:style w:type="character" w:styleId="PageNumber">
    <w:name w:val="page number"/>
    <w:basedOn w:val="DefaultParagraphFont"/>
  </w:style>
  <w:style w:type="paragraph" w:customStyle="1" w:styleId="BodyText21">
    <w:name w:val="Body Text 21"/>
    <w:basedOn w:val="Normal"/>
    <w:rPr>
      <w:rFonts w:ascii="Arial" w:hAnsi="Arial"/>
      <w:szCs w:val="20"/>
    </w:rPr>
  </w:style>
  <w:style w:type="paragraph" w:styleId="BodyText2">
    <w:name w:val="Body Text 2"/>
    <w:basedOn w:val="Normal"/>
    <w:pPr>
      <w:jc w:val="center"/>
    </w:pPr>
    <w:rPr>
      <w:bCs/>
      <w:sz w:val="28"/>
    </w:rPr>
  </w:style>
  <w:style w:type="paragraph" w:styleId="Footer">
    <w:name w:val="footer"/>
    <w:basedOn w:val="Normal"/>
    <w:pPr>
      <w:tabs>
        <w:tab w:val="center" w:pos="4536"/>
        <w:tab w:val="right" w:pos="9072"/>
      </w:tabs>
    </w:pPr>
  </w:style>
  <w:style w:type="paragraph" w:styleId="BodyText3">
    <w:name w:val="Body Text 3"/>
    <w:basedOn w:val="Normal"/>
    <w:rPr>
      <w:i/>
      <w:iCs/>
      <w:color w:val="000080"/>
      <w:lang w:val="en-US"/>
    </w:rPr>
  </w:style>
  <w:style w:type="paragraph" w:styleId="BodyTextIndent">
    <w:name w:val="Body Text Indent"/>
    <w:basedOn w:val="Normal"/>
    <w:pPr>
      <w:ind w:left="426" w:hanging="426"/>
    </w:pPr>
    <w:rPr>
      <w:lang w:val="en-US"/>
    </w:rPr>
  </w:style>
  <w:style w:type="table" w:styleId="TableGrid">
    <w:name w:val="Table Grid"/>
    <w:basedOn w:val="TableNormal"/>
    <w:uiPriority w:val="59"/>
    <w:rsid w:val="00E422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270362"/>
    <w:rPr>
      <w:rFonts w:cs="Tahoma"/>
      <w:sz w:val="16"/>
      <w:szCs w:val="16"/>
    </w:rPr>
  </w:style>
  <w:style w:type="character" w:styleId="CommentReference">
    <w:name w:val="annotation reference"/>
    <w:semiHidden/>
    <w:rsid w:val="004D7312"/>
    <w:rPr>
      <w:sz w:val="16"/>
      <w:szCs w:val="16"/>
    </w:rPr>
  </w:style>
  <w:style w:type="paragraph" w:styleId="CommentText">
    <w:name w:val="annotation text"/>
    <w:basedOn w:val="Normal"/>
    <w:link w:val="CommentTextChar"/>
    <w:uiPriority w:val="99"/>
    <w:semiHidden/>
    <w:rsid w:val="004D7312"/>
    <w:rPr>
      <w:sz w:val="20"/>
      <w:szCs w:val="20"/>
    </w:rPr>
  </w:style>
  <w:style w:type="paragraph" w:styleId="CommentSubject">
    <w:name w:val="annotation subject"/>
    <w:basedOn w:val="CommentText"/>
    <w:next w:val="CommentText"/>
    <w:semiHidden/>
    <w:rsid w:val="004D7312"/>
    <w:rPr>
      <w:b/>
      <w:bCs/>
    </w:rPr>
  </w:style>
  <w:style w:type="paragraph" w:styleId="Revision">
    <w:name w:val="Revision"/>
    <w:hidden/>
    <w:uiPriority w:val="99"/>
    <w:semiHidden/>
    <w:rsid w:val="0017305E"/>
    <w:rPr>
      <w:sz w:val="24"/>
      <w:szCs w:val="24"/>
      <w:lang w:val="cs-CZ" w:eastAsia="cs-CZ"/>
    </w:rPr>
  </w:style>
  <w:style w:type="paragraph" w:styleId="Caption">
    <w:name w:val="caption"/>
    <w:basedOn w:val="Normal"/>
    <w:next w:val="Normal"/>
    <w:unhideWhenUsed/>
    <w:qFormat/>
    <w:rsid w:val="00A51A5E"/>
    <w:rPr>
      <w:b/>
      <w:bCs/>
      <w:sz w:val="20"/>
      <w:szCs w:val="20"/>
    </w:rPr>
  </w:style>
  <w:style w:type="paragraph" w:styleId="Title">
    <w:name w:val="Title"/>
    <w:basedOn w:val="Normal"/>
    <w:next w:val="Normal"/>
    <w:link w:val="TitleChar"/>
    <w:qFormat/>
    <w:rsid w:val="00A51A5E"/>
    <w:pPr>
      <w:spacing w:before="240" w:after="60"/>
      <w:jc w:val="center"/>
      <w:outlineLvl w:val="0"/>
    </w:pPr>
    <w:rPr>
      <w:rFonts w:ascii="Cambria" w:hAnsi="Cambria"/>
      <w:b/>
      <w:bCs/>
      <w:kern w:val="28"/>
      <w:sz w:val="32"/>
      <w:szCs w:val="32"/>
    </w:rPr>
  </w:style>
  <w:style w:type="character" w:customStyle="1" w:styleId="TitleChar">
    <w:name w:val="Title Char"/>
    <w:link w:val="Title"/>
    <w:rsid w:val="00A51A5E"/>
    <w:rPr>
      <w:rFonts w:ascii="Cambria" w:eastAsia="Times New Roman" w:hAnsi="Cambria" w:cs="Times New Roman"/>
      <w:b/>
      <w:bCs/>
      <w:kern w:val="28"/>
      <w:sz w:val="32"/>
      <w:szCs w:val="32"/>
      <w:lang w:val="cs-CZ" w:eastAsia="cs-CZ"/>
    </w:rPr>
  </w:style>
  <w:style w:type="character" w:customStyle="1" w:styleId="Heading6Char">
    <w:name w:val="Heading 6 Char"/>
    <w:link w:val="Heading6"/>
    <w:semiHidden/>
    <w:rsid w:val="00E85E30"/>
    <w:rPr>
      <w:rFonts w:ascii="Calibri" w:hAnsi="Calibri"/>
      <w:b/>
      <w:bCs/>
      <w:sz w:val="22"/>
      <w:szCs w:val="22"/>
      <w:lang w:val="en-GB" w:eastAsia="cs-CZ"/>
    </w:rPr>
  </w:style>
  <w:style w:type="character" w:customStyle="1" w:styleId="Heading7Char">
    <w:name w:val="Heading 7 Char"/>
    <w:link w:val="Heading7"/>
    <w:semiHidden/>
    <w:rsid w:val="00E85E30"/>
    <w:rPr>
      <w:rFonts w:ascii="Calibri" w:hAnsi="Calibri"/>
      <w:sz w:val="22"/>
      <w:szCs w:val="24"/>
      <w:lang w:val="en-GB" w:eastAsia="cs-CZ"/>
    </w:rPr>
  </w:style>
  <w:style w:type="character" w:customStyle="1" w:styleId="Heading8Char">
    <w:name w:val="Heading 8 Char"/>
    <w:link w:val="Heading8"/>
    <w:semiHidden/>
    <w:rsid w:val="00E85E30"/>
    <w:rPr>
      <w:rFonts w:ascii="Calibri" w:hAnsi="Calibri"/>
      <w:i/>
      <w:iCs/>
      <w:sz w:val="22"/>
      <w:szCs w:val="24"/>
      <w:lang w:val="en-GB" w:eastAsia="cs-CZ"/>
    </w:rPr>
  </w:style>
  <w:style w:type="character" w:customStyle="1" w:styleId="Heading9Char">
    <w:name w:val="Heading 9 Char"/>
    <w:link w:val="Heading9"/>
    <w:semiHidden/>
    <w:rsid w:val="00E85E30"/>
    <w:rPr>
      <w:rFonts w:ascii="Cambria" w:hAnsi="Cambria"/>
      <w:sz w:val="22"/>
      <w:szCs w:val="22"/>
      <w:lang w:val="en-GB" w:eastAsia="cs-CZ"/>
    </w:rPr>
  </w:style>
  <w:style w:type="paragraph" w:styleId="ListBullet">
    <w:name w:val="List Bullet"/>
    <w:basedOn w:val="Normal"/>
    <w:rsid w:val="00B0205B"/>
    <w:pPr>
      <w:numPr>
        <w:numId w:val="3"/>
      </w:numPr>
      <w:contextualSpacing/>
    </w:pPr>
  </w:style>
  <w:style w:type="paragraph" w:customStyle="1" w:styleId="Note">
    <w:name w:val="Note"/>
    <w:basedOn w:val="Normal"/>
    <w:qFormat/>
    <w:rsid w:val="00EF129A"/>
    <w:pPr>
      <w:spacing w:before="120"/>
      <w:jc w:val="both"/>
    </w:pPr>
    <w:rPr>
      <w:rFonts w:cs="Tahoma"/>
      <w:sz w:val="18"/>
    </w:rPr>
  </w:style>
  <w:style w:type="paragraph" w:customStyle="1" w:styleId="Liststraight">
    <w:name w:val="List straight"/>
    <w:basedOn w:val="Normal"/>
    <w:qFormat/>
    <w:rsid w:val="004A7B7F"/>
    <w:pPr>
      <w:spacing w:after="0"/>
    </w:pPr>
    <w:rPr>
      <w:lang w:val="es-ES"/>
    </w:rPr>
  </w:style>
  <w:style w:type="paragraph" w:customStyle="1" w:styleId="Listnumbered">
    <w:name w:val="List numbered"/>
    <w:basedOn w:val="Normal"/>
    <w:qFormat/>
    <w:rsid w:val="00BE5BB8"/>
    <w:pPr>
      <w:numPr>
        <w:numId w:val="1"/>
      </w:numPr>
      <w:spacing w:after="60"/>
      <w:ind w:left="714" w:hanging="357"/>
      <w:jc w:val="both"/>
    </w:pPr>
    <w:rPr>
      <w:rFonts w:cs="Tahoma"/>
    </w:rPr>
  </w:style>
  <w:style w:type="paragraph" w:styleId="EndnoteText">
    <w:name w:val="endnote text"/>
    <w:basedOn w:val="Normal"/>
    <w:link w:val="EndnoteTextChar"/>
    <w:rsid w:val="00E63651"/>
    <w:rPr>
      <w:sz w:val="20"/>
      <w:szCs w:val="20"/>
    </w:rPr>
  </w:style>
  <w:style w:type="character" w:customStyle="1" w:styleId="EndnoteTextChar">
    <w:name w:val="Endnote Text Char"/>
    <w:link w:val="EndnoteText"/>
    <w:rsid w:val="00E63651"/>
    <w:rPr>
      <w:rFonts w:ascii="Tahoma" w:hAnsi="Tahoma"/>
      <w:lang w:eastAsia="cs-CZ"/>
    </w:rPr>
  </w:style>
  <w:style w:type="character" w:styleId="EndnoteReference">
    <w:name w:val="endnote reference"/>
    <w:rsid w:val="00E63651"/>
    <w:rPr>
      <w:vertAlign w:val="superscript"/>
    </w:rPr>
  </w:style>
  <w:style w:type="character" w:customStyle="1" w:styleId="UnresolvedMention1">
    <w:name w:val="Unresolved Mention1"/>
    <w:uiPriority w:val="99"/>
    <w:semiHidden/>
    <w:unhideWhenUsed/>
    <w:rsid w:val="00074C07"/>
    <w:rPr>
      <w:color w:val="605E5C"/>
      <w:shd w:val="clear" w:color="auto" w:fill="E1DFDD"/>
    </w:rPr>
  </w:style>
  <w:style w:type="paragraph" w:styleId="FootnoteText">
    <w:name w:val="footnote text"/>
    <w:basedOn w:val="Normal"/>
    <w:link w:val="FootnoteTextChar"/>
    <w:rsid w:val="0060011C"/>
    <w:rPr>
      <w:sz w:val="20"/>
      <w:szCs w:val="20"/>
    </w:rPr>
  </w:style>
  <w:style w:type="character" w:customStyle="1" w:styleId="FootnoteTextChar">
    <w:name w:val="Footnote Text Char"/>
    <w:link w:val="FootnoteText"/>
    <w:rsid w:val="0060011C"/>
    <w:rPr>
      <w:rFonts w:ascii="Tahoma" w:hAnsi="Tahoma"/>
      <w:lang w:val="en-GB" w:eastAsia="cs-CZ"/>
    </w:rPr>
  </w:style>
  <w:style w:type="character" w:styleId="FootnoteReference">
    <w:name w:val="footnote reference"/>
    <w:rsid w:val="0060011C"/>
    <w:rPr>
      <w:vertAlign w:val="superscript"/>
    </w:rPr>
  </w:style>
  <w:style w:type="character" w:styleId="PlaceholderText">
    <w:name w:val="Placeholder Text"/>
    <w:basedOn w:val="DefaultParagraphFont"/>
    <w:uiPriority w:val="99"/>
    <w:semiHidden/>
    <w:rsid w:val="00C27B72"/>
    <w:rPr>
      <w:color w:val="808080"/>
    </w:rPr>
  </w:style>
  <w:style w:type="paragraph" w:customStyle="1" w:styleId="PARAGRAPH">
    <w:name w:val="PARAGRAPH"/>
    <w:link w:val="PARAGRAPHChar"/>
    <w:qFormat/>
    <w:rsid w:val="00D45DCC"/>
    <w:pPr>
      <w:snapToGrid w:val="0"/>
      <w:spacing w:before="100" w:after="200"/>
      <w:jc w:val="both"/>
    </w:pPr>
    <w:rPr>
      <w:rFonts w:ascii="Arial" w:hAnsi="Arial" w:cs="Arial"/>
      <w:spacing w:val="8"/>
      <w:lang w:val="en-GB" w:eastAsia="zh-CN"/>
    </w:rPr>
  </w:style>
  <w:style w:type="character" w:customStyle="1" w:styleId="PARAGRAPHChar">
    <w:name w:val="PARAGRAPH Char"/>
    <w:link w:val="PARAGRAPH"/>
    <w:rsid w:val="00D45DCC"/>
    <w:rPr>
      <w:rFonts w:ascii="Arial" w:hAnsi="Arial" w:cs="Arial"/>
      <w:spacing w:val="8"/>
      <w:lang w:val="en-GB" w:eastAsia="zh-CN"/>
    </w:rPr>
  </w:style>
  <w:style w:type="paragraph" w:styleId="ListParagraph">
    <w:name w:val="List Paragraph"/>
    <w:basedOn w:val="Normal"/>
    <w:uiPriority w:val="34"/>
    <w:qFormat/>
    <w:rsid w:val="00A52E85"/>
    <w:pPr>
      <w:ind w:left="720"/>
      <w:contextualSpacing/>
    </w:pPr>
  </w:style>
  <w:style w:type="paragraph" w:styleId="NormalWeb">
    <w:name w:val="Normal (Web)"/>
    <w:basedOn w:val="Normal"/>
    <w:uiPriority w:val="99"/>
    <w:semiHidden/>
    <w:unhideWhenUsed/>
    <w:rsid w:val="00FA4CD0"/>
    <w:pPr>
      <w:spacing w:before="100" w:beforeAutospacing="1" w:after="100" w:afterAutospacing="1"/>
    </w:pPr>
    <w:rPr>
      <w:rFonts w:ascii="Times New Roman" w:eastAsiaTheme="minorEastAsia" w:hAnsi="Times New Roman"/>
      <w:sz w:val="24"/>
      <w:lang w:val="es-ES" w:eastAsia="es-ES"/>
    </w:rPr>
  </w:style>
  <w:style w:type="paragraph" w:customStyle="1" w:styleId="PARAEQUATION">
    <w:name w:val="PARAEQUATION"/>
    <w:basedOn w:val="Normal"/>
    <w:next w:val="PARAGRAPH"/>
    <w:qFormat/>
    <w:rsid w:val="00DF2A88"/>
    <w:pPr>
      <w:tabs>
        <w:tab w:val="center" w:pos="4536"/>
        <w:tab w:val="right" w:pos="9072"/>
      </w:tabs>
      <w:snapToGrid w:val="0"/>
      <w:spacing w:before="200" w:after="200"/>
      <w:jc w:val="both"/>
    </w:pPr>
    <w:rPr>
      <w:rFonts w:ascii="Arial" w:hAnsi="Arial" w:cs="Arial"/>
      <w:spacing w:val="8"/>
      <w:sz w:val="20"/>
      <w:szCs w:val="20"/>
      <w:lang w:eastAsia="zh-CN"/>
    </w:rPr>
  </w:style>
  <w:style w:type="character" w:customStyle="1" w:styleId="CommentTextChar">
    <w:name w:val="Comment Text Char"/>
    <w:link w:val="CommentText"/>
    <w:uiPriority w:val="99"/>
    <w:semiHidden/>
    <w:rsid w:val="00782F99"/>
    <w:rPr>
      <w:rFonts w:ascii="Tahoma" w:hAnsi="Tahoma"/>
      <w:lang w:val="en-GB" w:eastAsia="cs-CZ"/>
    </w:rPr>
  </w:style>
  <w:style w:type="character" w:customStyle="1" w:styleId="UnresolvedMention2">
    <w:name w:val="Unresolved Mention2"/>
    <w:basedOn w:val="DefaultParagraphFont"/>
    <w:uiPriority w:val="99"/>
    <w:semiHidden/>
    <w:unhideWhenUsed/>
    <w:rsid w:val="00A8463A"/>
    <w:rPr>
      <w:color w:val="605E5C"/>
      <w:shd w:val="clear" w:color="auto" w:fill="E1DFDD"/>
    </w:rPr>
  </w:style>
  <w:style w:type="paragraph" w:styleId="NoSpacing">
    <w:name w:val="No Spacing"/>
    <w:basedOn w:val="Normal"/>
    <w:uiPriority w:val="1"/>
    <w:qFormat/>
    <w:rsid w:val="00D060A5"/>
    <w:pPr>
      <w:spacing w:after="0"/>
    </w:pPr>
    <w:rPr>
      <w:rFonts w:asciiTheme="minorHAnsi" w:eastAsiaTheme="minorEastAsia" w:hAnsiTheme="minorHAnsi" w:cstheme="minorBidi"/>
      <w:szCs w:val="22"/>
      <w:lang w:val="sv-SE" w:eastAsia="sv-SE"/>
    </w:rPr>
  </w:style>
  <w:style w:type="character" w:customStyle="1" w:styleId="BalloonTextChar">
    <w:name w:val="Balloon Text Char"/>
    <w:basedOn w:val="DefaultParagraphFont"/>
    <w:link w:val="BalloonText"/>
    <w:uiPriority w:val="99"/>
    <w:semiHidden/>
    <w:rsid w:val="000C522C"/>
    <w:rPr>
      <w:rFonts w:ascii="Tahoma" w:hAnsi="Tahoma" w:cs="Tahoma"/>
      <w:sz w:val="16"/>
      <w:szCs w:val="16"/>
      <w:lang w:val="en-GB" w:eastAsia="cs-CZ"/>
    </w:rPr>
  </w:style>
  <w:style w:type="character" w:styleId="UnresolvedMention">
    <w:name w:val="Unresolved Mention"/>
    <w:basedOn w:val="DefaultParagraphFont"/>
    <w:uiPriority w:val="99"/>
    <w:semiHidden/>
    <w:unhideWhenUsed/>
    <w:rsid w:val="00717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03876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ni.kluss@ri.s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grietveld@vsl.nl" TargetMode="External"/><Relationship Id="rId17" Type="http://schemas.openxmlformats.org/officeDocument/2006/relationships/hyperlink" Target="mailto:ehoutzager@vsl.n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ailtoahmet.merev@tubitak.gov.t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ri.hallstrom@mikes.f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ohann.meisner@ptb.de" TargetMode="External"/><Relationship Id="rId23" Type="http://schemas.openxmlformats.org/officeDocument/2006/relationships/footer" Target="footer3.xml"/><Relationship Id="rId10" Type="http://schemas.openxmlformats.org/officeDocument/2006/relationships/hyperlink" Target="mailto:alf.elg@ri.s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ari.hallstrom@vtt.fi"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CB740-0824-4C43-9826-58048A6CD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1183</Words>
  <Characters>6272</Characters>
  <Application>Microsoft Office Word</Application>
  <DocSecurity>0</DocSecurity>
  <Lines>52</Lines>
  <Paragraphs>14</Paragraphs>
  <ScaleCrop>false</ScaleCrop>
  <HeadingPairs>
    <vt:vector size="6" baseType="variant">
      <vt:variant>
        <vt:lpstr>Title</vt:lpstr>
      </vt:variant>
      <vt:variant>
        <vt:i4>1</vt:i4>
      </vt:variant>
      <vt:variant>
        <vt:lpstr>Rubrik</vt:lpstr>
      </vt:variant>
      <vt:variant>
        <vt:i4>1</vt:i4>
      </vt:variant>
      <vt:variant>
        <vt:lpstr>Título</vt:lpstr>
      </vt:variant>
      <vt:variant>
        <vt:i4>1</vt:i4>
      </vt:variant>
    </vt:vector>
  </HeadingPairs>
  <TitlesOfParts>
    <vt:vector size="3" baseType="lpstr">
      <vt:lpstr>Guidelines for Euromet project  597</vt:lpstr>
      <vt:lpstr>Guidelines for Euromet project  597</vt:lpstr>
      <vt:lpstr>Guidelines for Euromet project  597</vt:lpstr>
    </vt:vector>
  </TitlesOfParts>
  <Company>ČESKÝ METROLOGICKÝ INSTITUT</Company>
  <LinksUpToDate>false</LinksUpToDate>
  <CharactersWithSpaces>7441</CharactersWithSpaces>
  <SharedDoc>false</SharedDoc>
  <HLinks>
    <vt:vector size="24" baseType="variant">
      <vt:variant>
        <vt:i4>2162695</vt:i4>
      </vt:variant>
      <vt:variant>
        <vt:i4>93</vt:i4>
      </vt:variant>
      <vt:variant>
        <vt:i4>0</vt:i4>
      </vt:variant>
      <vt:variant>
        <vt:i4>5</vt:i4>
      </vt:variant>
      <vt:variant>
        <vt:lpwstr>mailto:Yi.Li@measurement.gov.au</vt:lpwstr>
      </vt:variant>
      <vt:variant>
        <vt:lpwstr/>
      </vt:variant>
      <vt:variant>
        <vt:i4>4784185</vt:i4>
      </vt:variant>
      <vt:variant>
        <vt:i4>90</vt:i4>
      </vt:variant>
      <vt:variant>
        <vt:i4>0</vt:i4>
      </vt:variant>
      <vt:variant>
        <vt:i4>5</vt:i4>
      </vt:variant>
      <vt:variant>
        <vt:lpwstr>mailto:jari.hallstrom@mikes.fi</vt:lpwstr>
      </vt:variant>
      <vt:variant>
        <vt:lpwstr/>
      </vt:variant>
      <vt:variant>
        <vt:i4>5767288</vt:i4>
      </vt:variant>
      <vt:variant>
        <vt:i4>87</vt:i4>
      </vt:variant>
      <vt:variant>
        <vt:i4>0</vt:i4>
      </vt:variant>
      <vt:variant>
        <vt:i4>5</vt:i4>
      </vt:variant>
      <vt:variant>
        <vt:lpwstr>mailto:rmartin@lcoe.etsii.upm.es</vt:lpwstr>
      </vt:variant>
      <vt:variant>
        <vt:lpwstr/>
      </vt:variant>
      <vt:variant>
        <vt:i4>1769596</vt:i4>
      </vt:variant>
      <vt:variant>
        <vt:i4>84</vt:i4>
      </vt:variant>
      <vt:variant>
        <vt:i4>0</vt:i4>
      </vt:variant>
      <vt:variant>
        <vt:i4>5</vt:i4>
      </vt:variant>
      <vt:variant>
        <vt:lpwstr>mailto:anders.bergman@sp.se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Euromet project  597</dc:title>
  <dc:subject/>
  <dc:creator>Administrator</dc:creator>
  <cp:keywords/>
  <dc:description/>
  <cp:lastModifiedBy>Alf-Peter Elg</cp:lastModifiedBy>
  <cp:revision>2</cp:revision>
  <cp:lastPrinted>2012-02-13T15:01:00Z</cp:lastPrinted>
  <dcterms:created xsi:type="dcterms:W3CDTF">2022-10-07T07:39:00Z</dcterms:created>
  <dcterms:modified xsi:type="dcterms:W3CDTF">2022-10-07T07:39:00Z</dcterms:modified>
</cp:coreProperties>
</file>