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8FE5" w14:textId="52FFE8E9" w:rsidR="00BD5E1A" w:rsidRDefault="00822842" w:rsidP="00BD5E1A">
      <w:pPr>
        <w:pStyle w:val="Title"/>
        <w:rPr>
          <w:vertAlign w:val="subscript"/>
        </w:rPr>
      </w:pPr>
      <w:r w:rsidRPr="00AA0265">
        <w:rPr>
          <w:color w:val="1F497D" w:themeColor="text2"/>
        </w:rPr>
        <w:t>Re</w:t>
      </w:r>
      <w:r w:rsidR="00DC629A" w:rsidRPr="00AA0265">
        <w:rPr>
          <w:color w:val="1F497D" w:themeColor="text2"/>
        </w:rPr>
        <w:t>gistration</w:t>
      </w:r>
      <w:r w:rsidRPr="00AA0265">
        <w:rPr>
          <w:color w:val="1F497D" w:themeColor="text2"/>
        </w:rPr>
        <w:t xml:space="preserve"> Form</w:t>
      </w:r>
      <w:r w:rsidR="00C86FD3" w:rsidRPr="00AA0265">
        <w:rPr>
          <w:color w:val="1F497D" w:themeColor="text2"/>
        </w:rPr>
        <w:t xml:space="preserve"> </w:t>
      </w:r>
      <w:r w:rsidR="0068069B" w:rsidRPr="0068069B">
        <w:rPr>
          <w:color w:val="1F497D" w:themeColor="text2"/>
        </w:rPr>
        <w:t>BIPM.QM-K6-R1</w:t>
      </w:r>
      <w:r w:rsidR="001A339E" w:rsidRPr="00982483">
        <w:br/>
      </w:r>
      <w:r w:rsidR="00C548D1" w:rsidRPr="00C548D1">
        <w:t xml:space="preserve"> </w:t>
      </w:r>
    </w:p>
    <w:p w14:paraId="57690740" w14:textId="502E885C" w:rsidR="004C7351" w:rsidRPr="0037136D" w:rsidRDefault="00DC629A" w:rsidP="00CE5A70">
      <w:pPr>
        <w:pStyle w:val="ListBullet"/>
        <w:rPr>
          <w:rFonts w:ascii="Aptos" w:hAnsi="Aptos"/>
          <w:sz w:val="22"/>
          <w:szCs w:val="22"/>
        </w:rPr>
      </w:pPr>
      <w:r w:rsidRPr="008042C5">
        <w:rPr>
          <w:rFonts w:ascii="Aptos" w:hAnsi="Aptos"/>
          <w:sz w:val="22"/>
          <w:szCs w:val="22"/>
        </w:rPr>
        <w:t xml:space="preserve">This form should be completed </w:t>
      </w:r>
      <w:r w:rsidR="00020A4A" w:rsidRPr="008042C5">
        <w:rPr>
          <w:rFonts w:ascii="Aptos" w:hAnsi="Aptos"/>
          <w:sz w:val="22"/>
          <w:szCs w:val="22"/>
        </w:rPr>
        <w:t>by</w:t>
      </w:r>
      <w:r w:rsidRPr="008042C5">
        <w:rPr>
          <w:rFonts w:ascii="Aptos" w:hAnsi="Aptos"/>
          <w:sz w:val="22"/>
          <w:szCs w:val="22"/>
        </w:rPr>
        <w:t xml:space="preserve"> laboratories wishing to participa</w:t>
      </w:r>
      <w:r w:rsidR="00C548D1" w:rsidRPr="008042C5">
        <w:rPr>
          <w:rFonts w:ascii="Aptos" w:hAnsi="Aptos"/>
          <w:sz w:val="22"/>
          <w:szCs w:val="22"/>
        </w:rPr>
        <w:t xml:space="preserve">te in the </w:t>
      </w:r>
      <w:r w:rsidR="00A01C01">
        <w:rPr>
          <w:rFonts w:ascii="Aptos" w:hAnsi="Aptos"/>
          <w:sz w:val="22"/>
          <w:szCs w:val="22"/>
        </w:rPr>
        <w:t>Key Comparison BIPM.QM-K</w:t>
      </w:r>
      <w:r w:rsidR="00D249AA">
        <w:rPr>
          <w:rFonts w:ascii="Aptos" w:hAnsi="Aptos"/>
          <w:sz w:val="22"/>
          <w:szCs w:val="22"/>
        </w:rPr>
        <w:t>6</w:t>
      </w:r>
      <w:r w:rsidR="004B4152">
        <w:rPr>
          <w:rFonts w:ascii="Aptos" w:hAnsi="Aptos"/>
          <w:sz w:val="22"/>
          <w:szCs w:val="22"/>
        </w:rPr>
        <w:t>. The protocol of the comparison can be found on the BIPM website</w:t>
      </w:r>
      <w:r w:rsidR="0037136D">
        <w:rPr>
          <w:rFonts w:ascii="Aptos" w:hAnsi="Aptos"/>
          <w:sz w:val="22"/>
          <w:szCs w:val="22"/>
        </w:rPr>
        <w:t xml:space="preserve">: </w:t>
      </w:r>
      <w:r w:rsidR="0037136D" w:rsidRPr="0037136D">
        <w:t xml:space="preserve"> </w:t>
      </w:r>
      <w:hyperlink r:id="rId10" w:history="1">
        <w:r w:rsidR="0037136D" w:rsidRPr="00E63C0A">
          <w:rPr>
            <w:rStyle w:val="Hyperlink"/>
            <w:rFonts w:ascii="Aptos" w:hAnsi="Aptos"/>
            <w:i/>
            <w:iCs/>
            <w:sz w:val="22"/>
            <w:szCs w:val="22"/>
          </w:rPr>
          <w:t>https://www.bipm.org/en/gas-metrology/air-quality</w:t>
        </w:r>
      </w:hyperlink>
    </w:p>
    <w:p w14:paraId="1FCC8C4F" w14:textId="7B0451A3" w:rsidR="00C659E9" w:rsidRDefault="00822842" w:rsidP="00822842">
      <w:pPr>
        <w:pStyle w:val="BodyText"/>
        <w:numPr>
          <w:ilvl w:val="0"/>
          <w:numId w:val="5"/>
        </w:numPr>
        <w:tabs>
          <w:tab w:val="left" w:pos="2835"/>
        </w:tabs>
        <w:spacing w:line="220" w:lineRule="atLeast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>Comparison coordinator</w:t>
      </w:r>
      <w:r w:rsidR="00C659E9">
        <w:rPr>
          <w:rFonts w:ascii="Aptos" w:hAnsi="Aptos"/>
          <w:szCs w:val="22"/>
        </w:rPr>
        <w:t xml:space="preserve"> and </w:t>
      </w:r>
      <w:r w:rsidR="005B1246">
        <w:rPr>
          <w:rFonts w:ascii="Aptos" w:hAnsi="Aptos"/>
          <w:szCs w:val="22"/>
        </w:rPr>
        <w:t xml:space="preserve">postal address to send the standards: </w:t>
      </w:r>
    </w:p>
    <w:p w14:paraId="734811E4" w14:textId="6D1C342B" w:rsidR="004C7351" w:rsidRPr="00D249AA" w:rsidRDefault="004C7351" w:rsidP="00C659E9">
      <w:pPr>
        <w:pStyle w:val="BodyText"/>
        <w:tabs>
          <w:tab w:val="left" w:pos="993"/>
        </w:tabs>
        <w:spacing w:line="220" w:lineRule="atLeast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</w:rPr>
        <w:tab/>
      </w:r>
      <w:r w:rsidRPr="00D249AA">
        <w:rPr>
          <w:rFonts w:ascii="Aptos" w:hAnsi="Aptos"/>
          <w:szCs w:val="22"/>
          <w:lang w:val="fr-FR"/>
        </w:rPr>
        <w:t xml:space="preserve">Dr </w:t>
      </w:r>
      <w:r w:rsidR="00D249AA">
        <w:rPr>
          <w:rFonts w:ascii="Aptos" w:hAnsi="Aptos"/>
          <w:szCs w:val="22"/>
          <w:lang w:val="fr-FR"/>
        </w:rPr>
        <w:t>Edgar Flores</w:t>
      </w:r>
    </w:p>
    <w:p w14:paraId="2EE34A65" w14:textId="025C158C" w:rsidR="004C7351" w:rsidRPr="008042C5" w:rsidRDefault="004C7351" w:rsidP="00C659E9">
      <w:pPr>
        <w:pStyle w:val="BodyText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 xml:space="preserve">Chemistry </w:t>
      </w:r>
      <w:proofErr w:type="spellStart"/>
      <w:r w:rsidR="00E85EAA">
        <w:rPr>
          <w:rFonts w:ascii="Aptos" w:hAnsi="Aptos"/>
          <w:szCs w:val="22"/>
          <w:lang w:val="fr-FR"/>
        </w:rPr>
        <w:t>Department</w:t>
      </w:r>
      <w:proofErr w:type="spellEnd"/>
    </w:p>
    <w:p w14:paraId="60A9D430" w14:textId="77777777" w:rsidR="004C7351" w:rsidRPr="008042C5" w:rsidRDefault="004C7351" w:rsidP="00C659E9">
      <w:pPr>
        <w:pStyle w:val="BodyText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Bureau International des Poids et Mesures</w:t>
      </w:r>
    </w:p>
    <w:p w14:paraId="6E3E2AEC" w14:textId="77777777" w:rsidR="004C7351" w:rsidRPr="008042C5" w:rsidRDefault="004C7351" w:rsidP="00C659E9">
      <w:pPr>
        <w:pStyle w:val="BodyText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Pavillon de Breteuil</w:t>
      </w:r>
    </w:p>
    <w:p w14:paraId="620198BE" w14:textId="77777777" w:rsidR="004C7351" w:rsidRPr="008042C5" w:rsidRDefault="004C7351" w:rsidP="00C659E9">
      <w:pPr>
        <w:pStyle w:val="BodyText"/>
        <w:tabs>
          <w:tab w:val="left" w:pos="993"/>
        </w:tabs>
        <w:ind w:left="993" w:firstLine="4"/>
        <w:jc w:val="both"/>
        <w:rPr>
          <w:rFonts w:ascii="Aptos" w:hAnsi="Aptos"/>
          <w:szCs w:val="22"/>
          <w:lang w:val="fr-FR"/>
        </w:rPr>
      </w:pPr>
      <w:r w:rsidRPr="008042C5">
        <w:rPr>
          <w:rFonts w:ascii="Aptos" w:hAnsi="Aptos"/>
          <w:szCs w:val="22"/>
          <w:lang w:val="fr-FR"/>
        </w:rPr>
        <w:t>F-92312 SEVRES CEDEX</w:t>
      </w:r>
    </w:p>
    <w:p w14:paraId="724D9859" w14:textId="77777777" w:rsidR="004C7351" w:rsidRPr="008042C5" w:rsidRDefault="004C7351" w:rsidP="00C659E9">
      <w:pPr>
        <w:pStyle w:val="BodyText"/>
        <w:tabs>
          <w:tab w:val="left" w:pos="993"/>
        </w:tabs>
        <w:ind w:left="993" w:firstLine="4"/>
        <w:jc w:val="both"/>
        <w:rPr>
          <w:rFonts w:ascii="Aptos" w:hAnsi="Aptos"/>
          <w:szCs w:val="22"/>
        </w:rPr>
      </w:pPr>
      <w:r w:rsidRPr="008042C5">
        <w:rPr>
          <w:rFonts w:ascii="Aptos" w:hAnsi="Aptos"/>
          <w:szCs w:val="22"/>
        </w:rPr>
        <w:t>Tel: +33 1 45 07 62 70</w:t>
      </w:r>
    </w:p>
    <w:p w14:paraId="25DA7AAE" w14:textId="2A375370" w:rsidR="004C7351" w:rsidRDefault="00DC629A" w:rsidP="00C659E9">
      <w:pPr>
        <w:pStyle w:val="BodyText"/>
        <w:tabs>
          <w:tab w:val="left" w:pos="993"/>
        </w:tabs>
        <w:ind w:left="993" w:firstLine="4"/>
        <w:jc w:val="both"/>
      </w:pPr>
      <w:r w:rsidRPr="008042C5">
        <w:rPr>
          <w:rFonts w:ascii="Aptos" w:hAnsi="Aptos"/>
          <w:szCs w:val="22"/>
        </w:rPr>
        <w:t>Email:</w:t>
      </w:r>
      <w:r w:rsidR="00D92ABC">
        <w:t xml:space="preserve"> </w:t>
      </w:r>
      <w:hyperlink r:id="rId11" w:history="1">
        <w:r w:rsidR="00D92ABC" w:rsidRPr="00E645BC">
          <w:rPr>
            <w:rStyle w:val="Hyperlink"/>
          </w:rPr>
          <w:t>edgar.flores@bipm.org</w:t>
        </w:r>
      </w:hyperlink>
    </w:p>
    <w:p w14:paraId="49A131DD" w14:textId="77777777" w:rsidR="004C7351" w:rsidRPr="008042C5" w:rsidRDefault="004C7351" w:rsidP="004C7351">
      <w:pPr>
        <w:pStyle w:val="BodyText"/>
        <w:rPr>
          <w:rFonts w:ascii="Aptos" w:hAnsi="Aptos"/>
          <w:szCs w:val="22"/>
        </w:rPr>
      </w:pPr>
    </w:p>
    <w:p w14:paraId="2C45DA53" w14:textId="5C6BD2E7" w:rsidR="00BD5E1A" w:rsidRPr="00AA0265" w:rsidRDefault="004C7351" w:rsidP="006A20BF">
      <w:pPr>
        <w:pStyle w:val="BodyText"/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6" w:hanging="426"/>
        <w:rPr>
          <w:rFonts w:ascii="Aptos" w:hAnsi="Aptos"/>
          <w:i/>
          <w:iCs/>
          <w:szCs w:val="22"/>
        </w:rPr>
      </w:pPr>
      <w:r w:rsidRPr="00AA0265">
        <w:rPr>
          <w:rFonts w:ascii="Aptos" w:hAnsi="Aptos"/>
          <w:szCs w:val="22"/>
        </w:rPr>
        <w:t xml:space="preserve">Please complete and return the form </w:t>
      </w:r>
      <w:r w:rsidR="00DC629A" w:rsidRPr="00AA0265">
        <w:rPr>
          <w:rFonts w:ascii="Aptos" w:hAnsi="Aptos"/>
          <w:szCs w:val="22"/>
        </w:rPr>
        <w:t xml:space="preserve">by email </w:t>
      </w:r>
      <w:r w:rsidR="00E61F5B" w:rsidRPr="00E61F5B">
        <w:rPr>
          <w:rFonts w:ascii="Aptos" w:hAnsi="Aptos"/>
          <w:b/>
          <w:szCs w:val="22"/>
        </w:rPr>
        <w:t>at least three months before the requested comparison date</w:t>
      </w:r>
      <w:r w:rsidR="00E61F5B">
        <w:rPr>
          <w:rFonts w:ascii="Aptos" w:hAnsi="Aptos"/>
          <w:b/>
          <w:szCs w:val="22"/>
        </w:rPr>
        <w:t>.</w:t>
      </w:r>
      <w:r w:rsidR="00D155EB" w:rsidRPr="00AA0265">
        <w:rPr>
          <w:rFonts w:ascii="Aptos" w:hAnsi="Aptos"/>
          <w:szCs w:val="22"/>
        </w:rPr>
        <w:t xml:space="preserve"> Note that</w:t>
      </w:r>
      <w:r w:rsidR="00D155EB" w:rsidRPr="00AA0265">
        <w:rPr>
          <w:rFonts w:ascii="Aptos" w:hAnsi="Aptos"/>
          <w:b/>
          <w:szCs w:val="22"/>
        </w:rPr>
        <w:t xml:space="preserve"> </w:t>
      </w:r>
      <w:r w:rsidR="00D155EB" w:rsidRPr="00AA0265">
        <w:rPr>
          <w:rFonts w:ascii="Aptos" w:hAnsi="Aptos"/>
          <w:szCs w:val="22"/>
        </w:rPr>
        <w:t xml:space="preserve">further information on the comparison will be sent by email to the contact person(s) only. </w:t>
      </w:r>
      <w:r w:rsidR="00D155EB" w:rsidRPr="00AA0265">
        <w:rPr>
          <w:rFonts w:ascii="Aptos" w:hAnsi="Aptos"/>
          <w:b/>
          <w:szCs w:val="22"/>
        </w:rPr>
        <w:t xml:space="preserve"> </w:t>
      </w:r>
      <w:r w:rsidR="00982483" w:rsidRPr="00AA0265">
        <w:rPr>
          <w:rFonts w:ascii="Aptos" w:hAnsi="Aptos"/>
          <w:szCs w:val="22"/>
        </w:rPr>
        <w:t xml:space="preserve"> </w:t>
      </w:r>
    </w:p>
    <w:p w14:paraId="0ED57B2C" w14:textId="77777777" w:rsidR="004C7351" w:rsidRPr="00F15977" w:rsidRDefault="004C7351" w:rsidP="004C7351">
      <w:pPr>
        <w:pStyle w:val="BodyText"/>
        <w:rPr>
          <w:i/>
          <w:i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3"/>
        <w:gridCol w:w="6"/>
      </w:tblGrid>
      <w:tr w:rsidR="009F6D28" w:rsidRPr="009F6D28" w14:paraId="5378E081" w14:textId="77777777" w:rsidTr="00AA352E">
        <w:trPr>
          <w:cantSplit/>
          <w:trHeight w:val="567"/>
        </w:trPr>
        <w:tc>
          <w:tcPr>
            <w:tcW w:w="9426" w:type="dxa"/>
            <w:gridSpan w:val="3"/>
            <w:vAlign w:val="center"/>
          </w:tcPr>
          <w:p w14:paraId="2EE2F25F" w14:textId="77777777" w:rsidR="00690EB0" w:rsidRPr="009F6D28" w:rsidRDefault="005C6FC9" w:rsidP="00AF69C2">
            <w:pPr>
              <w:pStyle w:val="Titredetableau"/>
            </w:pPr>
            <w:r w:rsidRPr="009F6D28">
              <w:t>Participant</w:t>
            </w:r>
            <w:r w:rsidR="00AD5C37" w:rsidRPr="009F6D28">
              <w:t xml:space="preserve"> information</w:t>
            </w:r>
          </w:p>
        </w:tc>
      </w:tr>
      <w:tr w:rsidR="00A374CD" w14:paraId="084D6730" w14:textId="77777777" w:rsidTr="00AA352E">
        <w:trPr>
          <w:cantSplit/>
          <w:trHeight w:val="515"/>
        </w:trPr>
        <w:tc>
          <w:tcPr>
            <w:tcW w:w="2197" w:type="dxa"/>
          </w:tcPr>
          <w:p w14:paraId="5F49A554" w14:textId="77777777" w:rsidR="00A374CD" w:rsidRPr="00690EB0" w:rsidRDefault="00690EB0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 xml:space="preserve">Institute </w:t>
            </w:r>
            <w:r w:rsidR="00D155EB">
              <w:rPr>
                <w:b/>
                <w:bCs/>
              </w:rPr>
              <w:t>(acronym and full name)</w:t>
            </w:r>
          </w:p>
        </w:tc>
        <w:tc>
          <w:tcPr>
            <w:tcW w:w="7229" w:type="dxa"/>
            <w:gridSpan w:val="2"/>
          </w:tcPr>
          <w:p w14:paraId="27587A02" w14:textId="77777777" w:rsidR="00A374CD" w:rsidRPr="00EC2EA5" w:rsidRDefault="00A374CD" w:rsidP="00AF69C2">
            <w:pPr>
              <w:pStyle w:val="Corpsdetableau"/>
            </w:pPr>
          </w:p>
        </w:tc>
      </w:tr>
      <w:tr w:rsidR="00690EB0" w14:paraId="343C2F64" w14:textId="77777777" w:rsidTr="00AA352E">
        <w:trPr>
          <w:cantSplit/>
          <w:trHeight w:val="1269"/>
        </w:trPr>
        <w:tc>
          <w:tcPr>
            <w:tcW w:w="2197" w:type="dxa"/>
          </w:tcPr>
          <w:p w14:paraId="1C7C425B" w14:textId="77777777" w:rsidR="00690EB0" w:rsidRPr="00690EB0" w:rsidRDefault="00982483" w:rsidP="00982483">
            <w:pPr>
              <w:pStyle w:val="Corpsdetableau"/>
              <w:rPr>
                <w:b/>
                <w:bCs/>
              </w:rPr>
            </w:pPr>
            <w:r>
              <w:rPr>
                <w:b/>
                <w:bCs/>
              </w:rPr>
              <w:t>Shipping a</w:t>
            </w:r>
            <w:r w:rsidR="00690EB0" w:rsidRPr="00690EB0">
              <w:rPr>
                <w:b/>
                <w:bCs/>
              </w:rPr>
              <w:t>ddress</w:t>
            </w:r>
          </w:p>
        </w:tc>
        <w:tc>
          <w:tcPr>
            <w:tcW w:w="7229" w:type="dxa"/>
            <w:gridSpan w:val="2"/>
          </w:tcPr>
          <w:p w14:paraId="660A4D16" w14:textId="77777777" w:rsidR="000F070B" w:rsidRPr="00EC2EA5" w:rsidRDefault="000F070B" w:rsidP="00AF69C2">
            <w:pPr>
              <w:pStyle w:val="Corpsdetableau"/>
            </w:pPr>
          </w:p>
        </w:tc>
      </w:tr>
      <w:tr w:rsidR="00690EB0" w14:paraId="11E07A93" w14:textId="77777777" w:rsidTr="00AA352E">
        <w:trPr>
          <w:cantSplit/>
          <w:trHeight w:val="567"/>
        </w:trPr>
        <w:tc>
          <w:tcPr>
            <w:tcW w:w="2197" w:type="dxa"/>
          </w:tcPr>
          <w:p w14:paraId="03F2E679" w14:textId="77777777" w:rsidR="00690EB0" w:rsidRPr="00690EB0" w:rsidRDefault="00690EB0" w:rsidP="00D155EB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Contact person</w:t>
            </w:r>
            <w:r w:rsidR="00D155EB">
              <w:rPr>
                <w:b/>
                <w:bCs/>
              </w:rPr>
              <w:t xml:space="preserve">(s) </w:t>
            </w:r>
          </w:p>
        </w:tc>
        <w:tc>
          <w:tcPr>
            <w:tcW w:w="7229" w:type="dxa"/>
            <w:gridSpan w:val="2"/>
          </w:tcPr>
          <w:p w14:paraId="18806CF4" w14:textId="77777777" w:rsidR="00690EB0" w:rsidRPr="00EC2EA5" w:rsidRDefault="00690EB0" w:rsidP="00AF69C2">
            <w:pPr>
              <w:pStyle w:val="Corpsdetableau"/>
            </w:pPr>
          </w:p>
        </w:tc>
      </w:tr>
      <w:tr w:rsidR="00D155EB" w14:paraId="2051FD42" w14:textId="77777777" w:rsidTr="00AA352E">
        <w:trPr>
          <w:cantSplit/>
          <w:trHeight w:val="567"/>
        </w:trPr>
        <w:tc>
          <w:tcPr>
            <w:tcW w:w="2197" w:type="dxa"/>
          </w:tcPr>
          <w:p w14:paraId="6BCB1A23" w14:textId="77777777" w:rsidR="00D155EB" w:rsidRPr="00690EB0" w:rsidRDefault="00D155EB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Telephone</w:t>
            </w:r>
          </w:p>
        </w:tc>
        <w:tc>
          <w:tcPr>
            <w:tcW w:w="7229" w:type="dxa"/>
            <w:gridSpan w:val="2"/>
          </w:tcPr>
          <w:p w14:paraId="69B6AE84" w14:textId="77777777" w:rsidR="00D155EB" w:rsidRDefault="00D155EB" w:rsidP="00AF69C2">
            <w:pPr>
              <w:pStyle w:val="Corpsdetableau"/>
              <w:rPr>
                <w:color w:val="0000FF"/>
              </w:rPr>
            </w:pPr>
          </w:p>
        </w:tc>
      </w:tr>
      <w:tr w:rsidR="00690EB0" w14:paraId="39BAAFF3" w14:textId="77777777" w:rsidTr="00AA352E">
        <w:trPr>
          <w:cantSplit/>
          <w:trHeight w:val="567"/>
        </w:trPr>
        <w:tc>
          <w:tcPr>
            <w:tcW w:w="2197" w:type="dxa"/>
          </w:tcPr>
          <w:p w14:paraId="046D97C2" w14:textId="77777777" w:rsidR="00690EB0" w:rsidRPr="00690EB0" w:rsidRDefault="00690EB0" w:rsidP="00AF69C2">
            <w:pPr>
              <w:pStyle w:val="Corpsdetableau"/>
              <w:rPr>
                <w:b/>
                <w:bCs/>
              </w:rPr>
            </w:pPr>
            <w:r w:rsidRPr="00690EB0">
              <w:rPr>
                <w:b/>
                <w:bCs/>
              </w:rPr>
              <w:t>Email</w:t>
            </w:r>
            <w:r w:rsidR="00D155EB">
              <w:rPr>
                <w:b/>
                <w:bCs/>
              </w:rPr>
              <w:t>(s)</w:t>
            </w:r>
          </w:p>
        </w:tc>
        <w:tc>
          <w:tcPr>
            <w:tcW w:w="7229" w:type="dxa"/>
            <w:gridSpan w:val="2"/>
          </w:tcPr>
          <w:p w14:paraId="7B63AB97" w14:textId="77777777" w:rsidR="00690EB0" w:rsidRDefault="00690EB0" w:rsidP="00AF69C2">
            <w:pPr>
              <w:pStyle w:val="Corpsdetableau"/>
              <w:rPr>
                <w:color w:val="0000FF"/>
              </w:rPr>
            </w:pPr>
          </w:p>
        </w:tc>
      </w:tr>
      <w:tr w:rsidR="00DD74EE" w14:paraId="33DB4634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61CC9" w14:textId="31B91CBF" w:rsidR="00DD74EE" w:rsidRDefault="00283B8F" w:rsidP="00283B8F">
            <w:pPr>
              <w:pStyle w:val="Titredetableau"/>
            </w:pPr>
            <w:r>
              <w:t>Comparison</w:t>
            </w:r>
          </w:p>
        </w:tc>
      </w:tr>
      <w:tr w:rsidR="00601ECD" w14:paraId="1400EE96" w14:textId="77777777" w:rsidTr="00F236C7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B6791" w14:textId="09D8A6EB" w:rsidR="00601ECD" w:rsidRDefault="00601ECD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  <w:r w:rsidRPr="00601ECD">
              <w:rPr>
                <w:rFonts w:ascii="Aptos" w:hAnsi="Aptos"/>
                <w:szCs w:val="22"/>
                <w:lang w:val="en-US"/>
              </w:rPr>
              <w:t>Please indicate your preferred date for sending your standard</w:t>
            </w:r>
            <w:r>
              <w:rPr>
                <w:rFonts w:ascii="Aptos" w:hAnsi="Aptos"/>
                <w:szCs w:val="22"/>
                <w:lang w:val="en-US"/>
              </w:rPr>
              <w:t>s</w:t>
            </w:r>
            <w:r w:rsidRPr="00601ECD">
              <w:rPr>
                <w:rFonts w:ascii="Aptos" w:hAnsi="Aptos"/>
                <w:szCs w:val="22"/>
                <w:lang w:val="en-US"/>
              </w:rPr>
              <w:t xml:space="preserve"> to the BIPM. The date of the comparison will be confirmed by the BIPM in consultation with your laboratory after the submission of your registration forms. </w:t>
            </w:r>
          </w:p>
        </w:tc>
      </w:tr>
      <w:tr w:rsidR="00035E6B" w14:paraId="66D0D9A6" w14:textId="77777777" w:rsidTr="00672083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4FB14" w14:textId="77777777" w:rsidR="00035E6B" w:rsidRDefault="00035E6B" w:rsidP="00D44530">
            <w:pPr>
              <w:pStyle w:val="Corpsdetableau"/>
              <w:rPr>
                <w:rFonts w:ascii="Aptos" w:hAnsi="Aptos"/>
                <w:szCs w:val="22"/>
                <w:lang w:val="en-US"/>
              </w:rPr>
            </w:pPr>
          </w:p>
        </w:tc>
      </w:tr>
      <w:tr w:rsidR="00D44530" w14:paraId="4E717CFB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2ABBC0" w14:textId="2B6112AE" w:rsidR="00D44530" w:rsidRDefault="00D44530" w:rsidP="00D44530">
            <w:pPr>
              <w:pStyle w:val="Titredetableau"/>
            </w:pPr>
            <w:r>
              <w:t>Standard information</w:t>
            </w:r>
          </w:p>
        </w:tc>
      </w:tr>
      <w:tr w:rsidR="00D44530" w:rsidRPr="00AA352E" w14:paraId="29325D0D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567"/>
        </w:trPr>
        <w:tc>
          <w:tcPr>
            <w:tcW w:w="9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48C820" w14:textId="0EE1D869" w:rsidR="00D44530" w:rsidRDefault="00D44530" w:rsidP="00D44530">
            <w:pPr>
              <w:pStyle w:val="Corpsdetableau"/>
              <w:rPr>
                <w:color w:val="0000FF"/>
              </w:rPr>
            </w:pPr>
            <w:r w:rsidRPr="008042C5">
              <w:rPr>
                <w:rFonts w:ascii="Aptos" w:hAnsi="Aptos"/>
                <w:szCs w:val="22"/>
              </w:rPr>
              <w:lastRenderedPageBreak/>
              <w:t xml:space="preserve">Participants </w:t>
            </w:r>
            <w:r w:rsidRPr="008042C5">
              <w:rPr>
                <w:rFonts w:ascii="Aptos" w:hAnsi="Aptos"/>
                <w:szCs w:val="22"/>
                <w:lang w:val="en-US"/>
              </w:rPr>
              <w:t xml:space="preserve">are required to submit </w:t>
            </w:r>
            <w:r w:rsidR="00A10043">
              <w:rPr>
                <w:rFonts w:ascii="Aptos" w:hAnsi="Aptos"/>
                <w:szCs w:val="22"/>
                <w:lang w:val="en-US"/>
              </w:rPr>
              <w:t xml:space="preserve">a maximum of </w:t>
            </w:r>
            <w:r>
              <w:rPr>
                <w:rFonts w:ascii="Aptos" w:hAnsi="Aptos"/>
                <w:szCs w:val="22"/>
                <w:lang w:val="en-US"/>
              </w:rPr>
              <w:t>t</w:t>
            </w:r>
            <w:r w:rsidR="00117250">
              <w:rPr>
                <w:rFonts w:ascii="Aptos" w:hAnsi="Aptos"/>
                <w:szCs w:val="22"/>
                <w:lang w:val="en-US"/>
              </w:rPr>
              <w:t xml:space="preserve">wo </w:t>
            </w:r>
            <w:r w:rsidRPr="008042C5">
              <w:rPr>
                <w:rFonts w:ascii="Aptos" w:hAnsi="Aptos"/>
                <w:szCs w:val="22"/>
                <w:lang w:val="en-US"/>
              </w:rPr>
              <w:t xml:space="preserve">standards </w:t>
            </w:r>
            <w:r>
              <w:rPr>
                <w:rFonts w:ascii="Aptos" w:hAnsi="Aptos"/>
                <w:szCs w:val="22"/>
                <w:lang w:val="en-US"/>
              </w:rPr>
              <w:t xml:space="preserve">consisting of high-pressure cylinders. </w:t>
            </w:r>
            <w:r w:rsidRPr="00CB3550">
              <w:rPr>
                <w:rFonts w:ascii="Aptos" w:hAnsi="Aptos"/>
                <w:szCs w:val="22"/>
                <w:lang w:val="en-US"/>
              </w:rPr>
              <w:t xml:space="preserve">Please </w:t>
            </w:r>
            <w:r w:rsidR="00697825">
              <w:rPr>
                <w:rFonts w:ascii="Aptos" w:hAnsi="Aptos"/>
                <w:szCs w:val="22"/>
                <w:lang w:val="en-US"/>
              </w:rPr>
              <w:t>state the number of standards</w:t>
            </w:r>
            <w:r w:rsidR="008F4B20">
              <w:rPr>
                <w:rFonts w:ascii="Aptos" w:hAnsi="Aptos"/>
                <w:szCs w:val="22"/>
                <w:lang w:val="en-US"/>
              </w:rPr>
              <w:t xml:space="preserve">, the nominal </w:t>
            </w:r>
            <w:r w:rsidR="00D249AA">
              <w:rPr>
                <w:rFonts w:ascii="Aptos" w:hAnsi="Aptos"/>
                <w:szCs w:val="22"/>
                <w:lang w:val="en-US"/>
              </w:rPr>
              <w:t>N</w:t>
            </w:r>
            <w:r w:rsidR="008F4B20">
              <w:rPr>
                <w:rFonts w:ascii="Aptos" w:hAnsi="Aptos"/>
                <w:szCs w:val="22"/>
                <w:lang w:val="en-US"/>
              </w:rPr>
              <w:t>O</w:t>
            </w:r>
            <w:r w:rsidR="008F4B20">
              <w:rPr>
                <w:rFonts w:ascii="Aptos" w:hAnsi="Aptos"/>
                <w:szCs w:val="22"/>
                <w:vertAlign w:val="subscript"/>
                <w:lang w:val="en-US"/>
              </w:rPr>
              <w:t>2</w:t>
            </w:r>
            <w:r w:rsidR="008F4B20">
              <w:rPr>
                <w:rFonts w:ascii="Aptos" w:hAnsi="Aptos"/>
                <w:szCs w:val="22"/>
                <w:lang w:val="en-US"/>
              </w:rPr>
              <w:t xml:space="preserve"> amount fraction, and </w:t>
            </w:r>
            <w:r w:rsidRPr="00CB3550">
              <w:rPr>
                <w:rFonts w:ascii="Aptos" w:hAnsi="Aptos"/>
                <w:szCs w:val="22"/>
                <w:lang w:val="en-US"/>
              </w:rPr>
              <w:t>any relevant information on the cylinder</w:t>
            </w:r>
            <w:r w:rsidR="00F72004">
              <w:rPr>
                <w:rFonts w:ascii="Aptos" w:hAnsi="Aptos"/>
                <w:szCs w:val="22"/>
                <w:lang w:val="en-US"/>
              </w:rPr>
              <w:t>(</w:t>
            </w:r>
            <w:r w:rsidRPr="00CB3550">
              <w:rPr>
                <w:rFonts w:ascii="Aptos" w:hAnsi="Aptos"/>
                <w:szCs w:val="22"/>
                <w:lang w:val="en-US"/>
              </w:rPr>
              <w:t>s</w:t>
            </w:r>
            <w:r w:rsidR="00F72004">
              <w:rPr>
                <w:rFonts w:ascii="Aptos" w:hAnsi="Aptos"/>
                <w:szCs w:val="22"/>
                <w:lang w:val="en-US"/>
              </w:rPr>
              <w:t>)</w:t>
            </w:r>
            <w:r w:rsidRPr="00CB3550">
              <w:rPr>
                <w:rFonts w:ascii="Aptos" w:hAnsi="Aptos"/>
                <w:szCs w:val="22"/>
                <w:lang w:val="en-US"/>
              </w:rPr>
              <w:t xml:space="preserve"> expected to be shipped, including their volume, pressure, and the type of cylinder valve.  </w:t>
            </w:r>
          </w:p>
        </w:tc>
      </w:tr>
      <w:tr w:rsidR="00D44530" w:rsidRPr="00AA352E" w14:paraId="09834392" w14:textId="77777777" w:rsidTr="00AA352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cantSplit/>
          <w:trHeight w:val="1721"/>
        </w:trPr>
        <w:tc>
          <w:tcPr>
            <w:tcW w:w="9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502" w14:textId="77777777" w:rsidR="00D44530" w:rsidRPr="00CB3550" w:rsidRDefault="00D44530" w:rsidP="00D44530">
            <w:pPr>
              <w:pStyle w:val="Corpsdetableau"/>
              <w:rPr>
                <w:color w:val="0000FF"/>
                <w:lang w:val="en-US"/>
              </w:rPr>
            </w:pPr>
          </w:p>
        </w:tc>
      </w:tr>
      <w:tr w:rsidR="00D44530" w:rsidRPr="007A3E22" w14:paraId="63434585" w14:textId="77777777" w:rsidTr="00AA352E">
        <w:trPr>
          <w:cantSplit/>
          <w:trHeight w:val="488"/>
        </w:trPr>
        <w:tc>
          <w:tcPr>
            <w:tcW w:w="9426" w:type="dxa"/>
            <w:gridSpan w:val="3"/>
          </w:tcPr>
          <w:p w14:paraId="5A4D51AD" w14:textId="1C229E67" w:rsidR="00D44530" w:rsidRPr="007A3E22" w:rsidRDefault="00D44530" w:rsidP="00D44530">
            <w:pPr>
              <w:pStyle w:val="Titredetableau"/>
            </w:pPr>
            <w:r>
              <w:t>Transport and customs formalities</w:t>
            </w:r>
          </w:p>
        </w:tc>
      </w:tr>
      <w:tr w:rsidR="00D44530" w14:paraId="68878409" w14:textId="77777777" w:rsidTr="00AA352E">
        <w:trPr>
          <w:cantSplit/>
          <w:trHeight w:val="1169"/>
        </w:trPr>
        <w:tc>
          <w:tcPr>
            <w:tcW w:w="9426" w:type="dxa"/>
            <w:gridSpan w:val="3"/>
          </w:tcPr>
          <w:p w14:paraId="0D64D543" w14:textId="642881D0" w:rsidR="00D44530" w:rsidRDefault="00D44530" w:rsidP="00D44530">
            <w:pPr>
              <w:pStyle w:val="Corpsdetableau"/>
              <w:rPr>
                <w:rFonts w:ascii="Aptos" w:hAnsi="Aptos"/>
                <w:szCs w:val="22"/>
              </w:rPr>
            </w:pPr>
            <w:r w:rsidRPr="0005165F">
              <w:rPr>
                <w:rFonts w:ascii="Aptos" w:hAnsi="Aptos"/>
                <w:szCs w:val="22"/>
              </w:rPr>
              <w:t xml:space="preserve">The participating laboratory is responsible for the transport of their </w:t>
            </w:r>
            <w:r>
              <w:rPr>
                <w:rFonts w:ascii="Aptos" w:hAnsi="Aptos"/>
                <w:szCs w:val="22"/>
              </w:rPr>
              <w:t xml:space="preserve">standards </w:t>
            </w:r>
            <w:r w:rsidRPr="0005165F">
              <w:rPr>
                <w:rFonts w:ascii="Aptos" w:hAnsi="Aptos"/>
                <w:szCs w:val="22"/>
              </w:rPr>
              <w:t>to and from the BIPM and ensuring that proper arrangements are made for local customs formalities</w:t>
            </w:r>
            <w:r>
              <w:rPr>
                <w:rFonts w:ascii="Aptos" w:hAnsi="Aptos"/>
                <w:szCs w:val="22"/>
              </w:rPr>
              <w:t>. For countries outside E.U., the usage of an ATA Carnet (</w:t>
            </w:r>
            <w:r w:rsidRPr="009C49C6">
              <w:rPr>
                <w:rFonts w:ascii="Aptos" w:hAnsi="Aptos"/>
                <w:szCs w:val="22"/>
              </w:rPr>
              <w:t xml:space="preserve">Admission </w:t>
            </w:r>
            <w:proofErr w:type="spellStart"/>
            <w:r w:rsidRPr="009C49C6">
              <w:rPr>
                <w:rFonts w:ascii="Aptos" w:hAnsi="Aptos"/>
                <w:szCs w:val="22"/>
              </w:rPr>
              <w:t>Temporaire</w:t>
            </w:r>
            <w:proofErr w:type="spellEnd"/>
            <w:r w:rsidRPr="009C49C6">
              <w:rPr>
                <w:rFonts w:ascii="Aptos" w:hAnsi="Aptos"/>
                <w:szCs w:val="22"/>
              </w:rPr>
              <w:t>/Temporary Admission</w:t>
            </w:r>
            <w:r>
              <w:rPr>
                <w:rFonts w:ascii="Aptos" w:hAnsi="Aptos"/>
                <w:szCs w:val="22"/>
              </w:rPr>
              <w:t xml:space="preserve">) is strongly recommended. Please give below an indication on the expected transport arrangements. </w:t>
            </w:r>
          </w:p>
          <w:p w14:paraId="5279DAAF" w14:textId="77777777" w:rsidR="00D44530" w:rsidRDefault="00D44530" w:rsidP="00D44530">
            <w:pPr>
              <w:pStyle w:val="Corpsdetableau"/>
              <w:rPr>
                <w:rFonts w:ascii="Aptos" w:hAnsi="Aptos"/>
                <w:szCs w:val="22"/>
              </w:rPr>
            </w:pPr>
          </w:p>
          <w:p w14:paraId="11741643" w14:textId="77777777" w:rsidR="00D44530" w:rsidRDefault="00D44530" w:rsidP="00D44530">
            <w:pPr>
              <w:pStyle w:val="Corpsdetableau"/>
              <w:rPr>
                <w:rFonts w:ascii="Aptos" w:hAnsi="Aptos"/>
              </w:rPr>
            </w:pPr>
          </w:p>
          <w:p w14:paraId="23F17D55" w14:textId="77777777" w:rsidR="00D44530" w:rsidRDefault="00D44530" w:rsidP="00D44530">
            <w:pPr>
              <w:pStyle w:val="Corpsdetableau"/>
              <w:rPr>
                <w:rFonts w:ascii="Aptos" w:hAnsi="Aptos"/>
              </w:rPr>
            </w:pPr>
          </w:p>
          <w:p w14:paraId="26CED9D5" w14:textId="02FAFECF" w:rsidR="00D44530" w:rsidRPr="00A30CC8" w:rsidRDefault="00D44530" w:rsidP="00D44530">
            <w:pPr>
              <w:pStyle w:val="Corpsdetableau"/>
              <w:rPr>
                <w:rFonts w:ascii="Aptos" w:hAnsi="Aptos"/>
                <w:color w:val="0000FF"/>
              </w:rPr>
            </w:pPr>
          </w:p>
        </w:tc>
      </w:tr>
    </w:tbl>
    <w:p w14:paraId="31E14E4C" w14:textId="77777777" w:rsidR="00AF69C2" w:rsidRDefault="00AF69C2" w:rsidP="007A3E22"/>
    <w:sectPr w:rsidR="00AF69C2">
      <w:headerReference w:type="default" r:id="rId12"/>
      <w:footerReference w:type="default" r:id="rId13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F510" w14:textId="77777777" w:rsidR="00445D40" w:rsidRDefault="00445D40">
      <w:r>
        <w:separator/>
      </w:r>
    </w:p>
  </w:endnote>
  <w:endnote w:type="continuationSeparator" w:id="0">
    <w:p w14:paraId="33FEAB7B" w14:textId="77777777" w:rsidR="00445D40" w:rsidRDefault="0044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EACE" w14:textId="77777777" w:rsidR="00716907" w:rsidRDefault="00716907">
    <w:pPr>
      <w:pStyle w:val="Header"/>
    </w:pPr>
    <w:r>
      <w:tab/>
    </w:r>
    <w:r>
      <w:rPr>
        <w:snapToGrid w:val="0"/>
        <w:lang w:eastAsia="fr-FR"/>
      </w:rPr>
      <w:t xml:space="preserve">Page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PAGE </w:instrText>
    </w:r>
    <w:r>
      <w:rPr>
        <w:snapToGrid w:val="0"/>
        <w:lang w:eastAsia="fr-FR"/>
      </w:rPr>
      <w:fldChar w:fldCharType="separate"/>
    </w:r>
    <w:r w:rsidR="007A3E22">
      <w:rPr>
        <w:noProof/>
        <w:snapToGrid w:val="0"/>
        <w:lang w:eastAsia="fr-FR"/>
      </w:rPr>
      <w:t>1</w:t>
    </w:r>
    <w:r>
      <w:rPr>
        <w:snapToGrid w:val="0"/>
        <w:lang w:eastAsia="fr-FR"/>
      </w:rPr>
      <w:fldChar w:fldCharType="end"/>
    </w:r>
    <w:r>
      <w:rPr>
        <w:snapToGrid w:val="0"/>
        <w:lang w:eastAsia="fr-FR"/>
      </w:rPr>
      <w:t xml:space="preserve"> of </w:t>
    </w:r>
    <w:r>
      <w:rPr>
        <w:snapToGrid w:val="0"/>
        <w:lang w:eastAsia="fr-FR"/>
      </w:rPr>
      <w:fldChar w:fldCharType="begin"/>
    </w:r>
    <w:r>
      <w:rPr>
        <w:snapToGrid w:val="0"/>
        <w:lang w:eastAsia="fr-FR"/>
      </w:rPr>
      <w:instrText xml:space="preserve"> NUMPAGES </w:instrText>
    </w:r>
    <w:r>
      <w:rPr>
        <w:snapToGrid w:val="0"/>
        <w:lang w:eastAsia="fr-FR"/>
      </w:rPr>
      <w:fldChar w:fldCharType="separate"/>
    </w:r>
    <w:r w:rsidR="007A3E22">
      <w:rPr>
        <w:noProof/>
        <w:snapToGrid w:val="0"/>
        <w:lang w:eastAsia="fr-FR"/>
      </w:rPr>
      <w:t>2</w:t>
    </w:r>
    <w:r>
      <w:rPr>
        <w:snapToGrid w:val="0"/>
        <w:lang w:eastAsia="fr-FR"/>
      </w:rPr>
      <w:fldChar w:fldCharType="end"/>
    </w:r>
  </w:p>
  <w:p w14:paraId="59ACCA42" w14:textId="77777777" w:rsidR="00716907" w:rsidRDefault="0071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022B" w14:textId="77777777" w:rsidR="00445D40" w:rsidRDefault="00445D40">
      <w:r>
        <w:separator/>
      </w:r>
    </w:p>
  </w:footnote>
  <w:footnote w:type="continuationSeparator" w:id="0">
    <w:p w14:paraId="5D0F5CEB" w14:textId="77777777" w:rsidR="00445D40" w:rsidRDefault="0044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C82" w14:textId="77777777" w:rsidR="00716907" w:rsidRDefault="00716907">
    <w:pPr>
      <w:pStyle w:val="Header"/>
    </w:pPr>
  </w:p>
  <w:p w14:paraId="7407E5C0" w14:textId="77777777" w:rsidR="00716907" w:rsidRDefault="00716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8A05E5E"/>
    <w:lvl w:ilvl="0">
      <w:numFmt w:val="decimal"/>
      <w:pStyle w:val="ListBullet2"/>
      <w:lvlText w:val="*"/>
      <w:lvlJc w:val="left"/>
    </w:lvl>
  </w:abstractNum>
  <w:abstractNum w:abstractNumId="1" w15:restartNumberingAfterBreak="0">
    <w:nsid w:val="05AF4C33"/>
    <w:multiLevelType w:val="singleLevel"/>
    <w:tmpl w:val="284C3DA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AF57AE"/>
    <w:multiLevelType w:val="singleLevel"/>
    <w:tmpl w:val="D4AA0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446518"/>
    <w:multiLevelType w:val="singleLevel"/>
    <w:tmpl w:val="7A00E4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" w15:restartNumberingAfterBreak="0">
    <w:nsid w:val="194B7C01"/>
    <w:multiLevelType w:val="singleLevel"/>
    <w:tmpl w:val="4F586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1E195831"/>
    <w:multiLevelType w:val="singleLevel"/>
    <w:tmpl w:val="0B04DF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27E81C47"/>
    <w:multiLevelType w:val="hybridMultilevel"/>
    <w:tmpl w:val="7FF2D4C8"/>
    <w:lvl w:ilvl="0" w:tplc="99FE32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580E"/>
    <w:multiLevelType w:val="multilevel"/>
    <w:tmpl w:val="428075E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suff w:val="space"/>
      <w:lvlText w:val="(%3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suff w:val="space"/>
      <w:lvlText w:val="%3.%4)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Roman"/>
      <w:pStyle w:val="Heading5"/>
      <w:suff w:val="space"/>
      <w:lvlText w:val="%3.%4.%5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pStyle w:val="Heading6"/>
      <w:suff w:val="space"/>
      <w:lvlText w:val="%6)"/>
      <w:lvlJc w:val="left"/>
      <w:pPr>
        <w:ind w:left="0" w:firstLine="567"/>
      </w:pPr>
      <w:rPr>
        <w:rFonts w:ascii="Times New Roman" w:hAnsi="Times New Roman" w:hint="default"/>
        <w:b w:val="0"/>
        <w:i/>
        <w:sz w:val="22"/>
      </w:rPr>
    </w:lvl>
    <w:lvl w:ilvl="6">
      <w:start w:val="1"/>
      <w:numFmt w:val="none"/>
      <w:pStyle w:val="Heading7"/>
      <w:suff w:val="space"/>
      <w:lvlText w:val="(%7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suff w:val="space"/>
      <w:lvlText w:val="(%8)"/>
      <w:lvlJc w:val="left"/>
      <w:pPr>
        <w:ind w:left="0" w:firstLine="1985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F6E7C94"/>
    <w:multiLevelType w:val="singleLevel"/>
    <w:tmpl w:val="02E2185C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num w:numId="1" w16cid:durableId="838958063">
    <w:abstractNumId w:val="2"/>
  </w:num>
  <w:num w:numId="2" w16cid:durableId="964039031">
    <w:abstractNumId w:val="8"/>
  </w:num>
  <w:num w:numId="3" w16cid:durableId="1432972504">
    <w:abstractNumId w:val="1"/>
  </w:num>
  <w:num w:numId="4" w16cid:durableId="288516983">
    <w:abstractNumId w:val="7"/>
  </w:num>
  <w:num w:numId="5" w16cid:durableId="145439289">
    <w:abstractNumId w:val="3"/>
  </w:num>
  <w:num w:numId="6" w16cid:durableId="1247106283">
    <w:abstractNumId w:val="4"/>
  </w:num>
  <w:num w:numId="7" w16cid:durableId="1607537328">
    <w:abstractNumId w:val="0"/>
    <w:lvlOverride w:ilvl="0">
      <w:lvl w:ilvl="0">
        <w:start w:val="1"/>
        <w:numFmt w:val="bullet"/>
        <w:pStyle w:val="ListBullet2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8" w16cid:durableId="214239984">
    <w:abstractNumId w:val="5"/>
  </w:num>
  <w:num w:numId="9" w16cid:durableId="1897273775">
    <w:abstractNumId w:val="0"/>
  </w:num>
  <w:num w:numId="10" w16cid:durableId="1169103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CD"/>
    <w:rsid w:val="00020A4A"/>
    <w:rsid w:val="00035E6B"/>
    <w:rsid w:val="000364E8"/>
    <w:rsid w:val="0004530C"/>
    <w:rsid w:val="0004607D"/>
    <w:rsid w:val="0005165F"/>
    <w:rsid w:val="00067010"/>
    <w:rsid w:val="000776DE"/>
    <w:rsid w:val="000813AE"/>
    <w:rsid w:val="0008536C"/>
    <w:rsid w:val="00091764"/>
    <w:rsid w:val="000A288C"/>
    <w:rsid w:val="000B0107"/>
    <w:rsid w:val="000E077C"/>
    <w:rsid w:val="000F070B"/>
    <w:rsid w:val="00102959"/>
    <w:rsid w:val="001067DC"/>
    <w:rsid w:val="0011071B"/>
    <w:rsid w:val="00117250"/>
    <w:rsid w:val="001410FE"/>
    <w:rsid w:val="00142402"/>
    <w:rsid w:val="001527F7"/>
    <w:rsid w:val="00156047"/>
    <w:rsid w:val="00164F08"/>
    <w:rsid w:val="00172296"/>
    <w:rsid w:val="00184797"/>
    <w:rsid w:val="00193878"/>
    <w:rsid w:val="001A339E"/>
    <w:rsid w:val="001B0998"/>
    <w:rsid w:val="001B1782"/>
    <w:rsid w:val="001C206D"/>
    <w:rsid w:val="001E6BAD"/>
    <w:rsid w:val="00206438"/>
    <w:rsid w:val="00207C97"/>
    <w:rsid w:val="00236B99"/>
    <w:rsid w:val="00245FE8"/>
    <w:rsid w:val="00252F33"/>
    <w:rsid w:val="002750DC"/>
    <w:rsid w:val="00283B8F"/>
    <w:rsid w:val="00284C48"/>
    <w:rsid w:val="00291401"/>
    <w:rsid w:val="002A2A14"/>
    <w:rsid w:val="002F48A8"/>
    <w:rsid w:val="00313A9A"/>
    <w:rsid w:val="003217D1"/>
    <w:rsid w:val="003439FF"/>
    <w:rsid w:val="0037136D"/>
    <w:rsid w:val="00386C66"/>
    <w:rsid w:val="003D6CF2"/>
    <w:rsid w:val="003E764F"/>
    <w:rsid w:val="00442AF1"/>
    <w:rsid w:val="00442EF0"/>
    <w:rsid w:val="00442FA1"/>
    <w:rsid w:val="00445D40"/>
    <w:rsid w:val="0045412D"/>
    <w:rsid w:val="00456F5D"/>
    <w:rsid w:val="00461C3E"/>
    <w:rsid w:val="00463788"/>
    <w:rsid w:val="00485278"/>
    <w:rsid w:val="004B4152"/>
    <w:rsid w:val="004C7351"/>
    <w:rsid w:val="00503F4A"/>
    <w:rsid w:val="00522A89"/>
    <w:rsid w:val="00522CB0"/>
    <w:rsid w:val="005243BD"/>
    <w:rsid w:val="00540B9F"/>
    <w:rsid w:val="0058394D"/>
    <w:rsid w:val="005956D1"/>
    <w:rsid w:val="005A506C"/>
    <w:rsid w:val="005B1246"/>
    <w:rsid w:val="005B3C9F"/>
    <w:rsid w:val="005C6FC9"/>
    <w:rsid w:val="005D49C3"/>
    <w:rsid w:val="005E34EB"/>
    <w:rsid w:val="005E41E9"/>
    <w:rsid w:val="005E4D82"/>
    <w:rsid w:val="00601DF0"/>
    <w:rsid w:val="00601ECD"/>
    <w:rsid w:val="006126A6"/>
    <w:rsid w:val="00631CF6"/>
    <w:rsid w:val="00640606"/>
    <w:rsid w:val="00650A02"/>
    <w:rsid w:val="00661D1C"/>
    <w:rsid w:val="00674A0A"/>
    <w:rsid w:val="00675B59"/>
    <w:rsid w:val="0068037D"/>
    <w:rsid w:val="0068069B"/>
    <w:rsid w:val="00690EB0"/>
    <w:rsid w:val="00697825"/>
    <w:rsid w:val="006C4EFA"/>
    <w:rsid w:val="006E5170"/>
    <w:rsid w:val="00701815"/>
    <w:rsid w:val="00716907"/>
    <w:rsid w:val="00730776"/>
    <w:rsid w:val="0073613D"/>
    <w:rsid w:val="00742C9F"/>
    <w:rsid w:val="00744C78"/>
    <w:rsid w:val="00744D1C"/>
    <w:rsid w:val="0075012F"/>
    <w:rsid w:val="007633C6"/>
    <w:rsid w:val="007A3E22"/>
    <w:rsid w:val="007C6780"/>
    <w:rsid w:val="007E02C8"/>
    <w:rsid w:val="007E1FE4"/>
    <w:rsid w:val="007E30CA"/>
    <w:rsid w:val="007E40BF"/>
    <w:rsid w:val="008042C5"/>
    <w:rsid w:val="008222F1"/>
    <w:rsid w:val="00822842"/>
    <w:rsid w:val="00826D09"/>
    <w:rsid w:val="0085387C"/>
    <w:rsid w:val="0086223F"/>
    <w:rsid w:val="00897776"/>
    <w:rsid w:val="008A3082"/>
    <w:rsid w:val="008B1E69"/>
    <w:rsid w:val="008E3EE7"/>
    <w:rsid w:val="008F3D65"/>
    <w:rsid w:val="008F4B20"/>
    <w:rsid w:val="00913E5F"/>
    <w:rsid w:val="009700CE"/>
    <w:rsid w:val="00980F2E"/>
    <w:rsid w:val="00982483"/>
    <w:rsid w:val="00986617"/>
    <w:rsid w:val="009B7BFC"/>
    <w:rsid w:val="009C49C6"/>
    <w:rsid w:val="009D43BE"/>
    <w:rsid w:val="009F3798"/>
    <w:rsid w:val="009F6D28"/>
    <w:rsid w:val="00A01C01"/>
    <w:rsid w:val="00A02A47"/>
    <w:rsid w:val="00A10043"/>
    <w:rsid w:val="00A10567"/>
    <w:rsid w:val="00A113A3"/>
    <w:rsid w:val="00A164A4"/>
    <w:rsid w:val="00A25619"/>
    <w:rsid w:val="00A30CC8"/>
    <w:rsid w:val="00A374CD"/>
    <w:rsid w:val="00A41EE9"/>
    <w:rsid w:val="00A76556"/>
    <w:rsid w:val="00A957FD"/>
    <w:rsid w:val="00AA0265"/>
    <w:rsid w:val="00AA352E"/>
    <w:rsid w:val="00AB32E5"/>
    <w:rsid w:val="00AB4FA7"/>
    <w:rsid w:val="00AC13C5"/>
    <w:rsid w:val="00AD5C37"/>
    <w:rsid w:val="00AF69C2"/>
    <w:rsid w:val="00B06528"/>
    <w:rsid w:val="00B46DD3"/>
    <w:rsid w:val="00B4734D"/>
    <w:rsid w:val="00B5108F"/>
    <w:rsid w:val="00B6691E"/>
    <w:rsid w:val="00B974E5"/>
    <w:rsid w:val="00BA7D75"/>
    <w:rsid w:val="00BC01CF"/>
    <w:rsid w:val="00BC59ED"/>
    <w:rsid w:val="00BD5E1A"/>
    <w:rsid w:val="00BF116B"/>
    <w:rsid w:val="00C30436"/>
    <w:rsid w:val="00C46018"/>
    <w:rsid w:val="00C548D1"/>
    <w:rsid w:val="00C659E9"/>
    <w:rsid w:val="00C761E6"/>
    <w:rsid w:val="00C86FD3"/>
    <w:rsid w:val="00C93665"/>
    <w:rsid w:val="00CA6406"/>
    <w:rsid w:val="00CB3550"/>
    <w:rsid w:val="00CC154B"/>
    <w:rsid w:val="00CC59FB"/>
    <w:rsid w:val="00CC7E2E"/>
    <w:rsid w:val="00CD4259"/>
    <w:rsid w:val="00CE5A70"/>
    <w:rsid w:val="00D07077"/>
    <w:rsid w:val="00D155EB"/>
    <w:rsid w:val="00D249AA"/>
    <w:rsid w:val="00D311AE"/>
    <w:rsid w:val="00D44530"/>
    <w:rsid w:val="00D45A1D"/>
    <w:rsid w:val="00D61F29"/>
    <w:rsid w:val="00D75ADE"/>
    <w:rsid w:val="00D84C50"/>
    <w:rsid w:val="00D872D6"/>
    <w:rsid w:val="00D92ABC"/>
    <w:rsid w:val="00DA2880"/>
    <w:rsid w:val="00DC629A"/>
    <w:rsid w:val="00DD1B1E"/>
    <w:rsid w:val="00DD74EE"/>
    <w:rsid w:val="00DF0DF7"/>
    <w:rsid w:val="00E02C67"/>
    <w:rsid w:val="00E360F3"/>
    <w:rsid w:val="00E37D87"/>
    <w:rsid w:val="00E61F5B"/>
    <w:rsid w:val="00E85EAA"/>
    <w:rsid w:val="00E9458E"/>
    <w:rsid w:val="00EA02C0"/>
    <w:rsid w:val="00EB0EDF"/>
    <w:rsid w:val="00EB40C5"/>
    <w:rsid w:val="00EC01F4"/>
    <w:rsid w:val="00EC2EA5"/>
    <w:rsid w:val="00F00B26"/>
    <w:rsid w:val="00F0176F"/>
    <w:rsid w:val="00F15977"/>
    <w:rsid w:val="00F53171"/>
    <w:rsid w:val="00F72004"/>
    <w:rsid w:val="00FB231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F9DE4"/>
  <w15:docId w15:val="{4E70473E-A71A-4375-80F0-E6593D1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ko-KR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">
    <w:name w:val="contact"/>
    <w:basedOn w:val="Normal"/>
    <w:pPr>
      <w:jc w:val="center"/>
    </w:pPr>
    <w:rPr>
      <w:snapToGrid w:val="0"/>
      <w:sz w:val="18"/>
      <w:lang w:eastAsia="fr-F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0176F"/>
    <w:rPr>
      <w:sz w:val="22"/>
    </w:rPr>
  </w:style>
  <w:style w:type="paragraph" w:styleId="Title">
    <w:name w:val="Title"/>
    <w:basedOn w:val="Normal"/>
    <w:qFormat/>
    <w:rsid w:val="00BD5E1A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  <w:lang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sid w:val="000A288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90EB0"/>
    <w:rPr>
      <w:lang w:val="en-GB" w:eastAsia="ko-KR" w:bidi="ar-SA"/>
    </w:rPr>
  </w:style>
  <w:style w:type="paragraph" w:customStyle="1" w:styleId="Corpsdetableau">
    <w:name w:val="Corps de tableau"/>
    <w:basedOn w:val="BodyText"/>
    <w:rsid w:val="00690EB0"/>
    <w:pPr>
      <w:spacing w:before="120"/>
    </w:pPr>
  </w:style>
  <w:style w:type="paragraph" w:customStyle="1" w:styleId="StyleCorpsdetableauGras">
    <w:name w:val="Style Corps de tableau + Gras"/>
    <w:basedOn w:val="Corpsdetableau"/>
    <w:rsid w:val="00C46018"/>
    <w:pPr>
      <w:spacing w:after="120"/>
    </w:pPr>
    <w:rPr>
      <w:b/>
      <w:bCs/>
    </w:rPr>
  </w:style>
  <w:style w:type="paragraph" w:customStyle="1" w:styleId="Titredetableau">
    <w:name w:val="Titre de tableau"/>
    <w:basedOn w:val="Corpsdetableau"/>
    <w:next w:val="Corpsdetableau"/>
    <w:rsid w:val="009F6D28"/>
    <w:pPr>
      <w:spacing w:after="120"/>
      <w:jc w:val="center"/>
    </w:pPr>
    <w:rPr>
      <w:b/>
      <w:color w:val="1F497D" w:themeColor="text2"/>
      <w:sz w:val="24"/>
    </w:rPr>
  </w:style>
  <w:style w:type="character" w:styleId="Hyperlink">
    <w:name w:val="Hyperlink"/>
    <w:rsid w:val="004C7351"/>
    <w:rPr>
      <w:color w:val="0000FF"/>
      <w:u w:val="single"/>
    </w:rPr>
  </w:style>
  <w:style w:type="paragraph" w:styleId="DocumentMap">
    <w:name w:val="Document Map"/>
    <w:basedOn w:val="Normal"/>
    <w:semiHidden/>
    <w:rsid w:val="009B7BFC"/>
    <w:pPr>
      <w:shd w:val="clear" w:color="auto" w:fill="000080"/>
    </w:pPr>
    <w:rPr>
      <w:rFonts w:ascii="Tahoma" w:hAnsi="Tahoma" w:cs="Tahoma"/>
    </w:rPr>
  </w:style>
  <w:style w:type="paragraph" w:styleId="ListNumber">
    <w:name w:val="List Number"/>
    <w:basedOn w:val="List"/>
    <w:rsid w:val="00F0176F"/>
    <w:pPr>
      <w:spacing w:after="220" w:line="220" w:lineRule="atLeast"/>
      <w:ind w:left="0" w:right="720" w:firstLine="0"/>
    </w:pPr>
    <w:rPr>
      <w:sz w:val="24"/>
      <w:szCs w:val="24"/>
      <w:lang w:eastAsia="fr-FR"/>
    </w:rPr>
  </w:style>
  <w:style w:type="paragraph" w:styleId="ListBullet2">
    <w:name w:val="List Bullet 2"/>
    <w:basedOn w:val="ListBullet"/>
    <w:rsid w:val="00F0176F"/>
    <w:pPr>
      <w:numPr>
        <w:numId w:val="7"/>
      </w:numPr>
      <w:ind w:left="0" w:right="340" w:firstLine="0"/>
    </w:pPr>
    <w:rPr>
      <w:i/>
      <w:szCs w:val="24"/>
      <w:lang w:eastAsia="fr-FR"/>
    </w:rPr>
  </w:style>
  <w:style w:type="table" w:styleId="TableGrid">
    <w:name w:val="Table Grid"/>
    <w:basedOn w:val="TableNormal"/>
    <w:rsid w:val="00F0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F0176F"/>
    <w:pPr>
      <w:ind w:left="283" w:hanging="283"/>
    </w:pPr>
  </w:style>
  <w:style w:type="paragraph" w:styleId="ListBullet">
    <w:name w:val="List Bullet"/>
    <w:basedOn w:val="BodyText"/>
    <w:rsid w:val="00CE5A70"/>
    <w:pPr>
      <w:numPr>
        <w:numId w:val="5"/>
      </w:numPr>
      <w:spacing w:after="220" w:line="220" w:lineRule="atLeast"/>
    </w:pPr>
    <w:rPr>
      <w:rFonts w:ascii="Arial" w:hAnsi="Arial"/>
      <w:sz w:val="20"/>
    </w:rPr>
  </w:style>
  <w:style w:type="character" w:styleId="FollowedHyperlink">
    <w:name w:val="FollowedHyperlink"/>
    <w:rsid w:val="005E4D82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rsid w:val="00B6691E"/>
    <w:rPr>
      <w:sz w:val="22"/>
      <w:lang w:val="en-GB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D9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gar.flores@bipm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pm.org/en/gas-metrology/air-qua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165852880B14AA0D11774D371EBCE" ma:contentTypeVersion="13" ma:contentTypeDescription="Create a new document." ma:contentTypeScope="" ma:versionID="744a2b53ea371145f6d2a8be67484c7d">
  <xsd:schema xmlns:xsd="http://www.w3.org/2001/XMLSchema" xmlns:xs="http://www.w3.org/2001/XMLSchema" xmlns:p="http://schemas.microsoft.com/office/2006/metadata/properties" xmlns:ns2="fa2dc380-1113-45c5-9cd8-c0a867194c6d" xmlns:ns3="6bf597ce-ef67-461f-a6c3-1ab616dbcc54" targetNamespace="http://schemas.microsoft.com/office/2006/metadata/properties" ma:root="true" ma:fieldsID="c00774ce4158411ea5ff7d9baff0a5ee" ns2:_="" ns3:_="">
    <xsd:import namespace="fa2dc380-1113-45c5-9cd8-c0a867194c6d"/>
    <xsd:import namespace="6bf597ce-ef67-461f-a6c3-1ab616dbcc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c380-1113-45c5-9cd8-c0a867194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10ef5f-f124-48b8-aceb-25c9e668d700}" ma:internalName="TaxCatchAll" ma:showField="CatchAllData" ma:web="fa2dc380-1113-45c5-9cd8-c0a867194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97ce-ef67-461f-a6c3-1ab616dbc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b2218b-01ce-4b35-bb94-15f686a37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dc380-1113-45c5-9cd8-c0a867194c6d" xsi:nil="true"/>
    <lcf76f155ced4ddcb4097134ff3c332f xmlns="6bf597ce-ef67-461f-a6c3-1ab616dbcc54">
      <Terms xmlns="http://schemas.microsoft.com/office/infopath/2007/PartnerControls"/>
    </lcf76f155ced4ddcb4097134ff3c332f>
    <SharedWithUsers xmlns="fa2dc380-1113-45c5-9cd8-c0a867194c6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A98E4-FB99-47DD-9983-30A1ADCFB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dc380-1113-45c5-9cd8-c0a867194c6d"/>
    <ds:schemaRef ds:uri="6bf597ce-ef67-461f-a6c3-1ab616dbc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D9BA4-C4D5-433B-8EB8-4C57BA3359E1}">
  <ds:schemaRefs>
    <ds:schemaRef ds:uri="http://schemas.microsoft.com/office/2006/metadata/properties"/>
    <ds:schemaRef ds:uri="http://schemas.microsoft.com/office/infopath/2007/PartnerControls"/>
    <ds:schemaRef ds:uri="fa2dc380-1113-45c5-9cd8-c0a867194c6d"/>
    <ds:schemaRef ds:uri="6bf597ce-ef67-461f-a6c3-1ab616dbcc54"/>
  </ds:schemaRefs>
</ds:datastoreItem>
</file>

<file path=customXml/itemProps3.xml><?xml version="1.0" encoding="utf-8"?>
<ds:datastoreItem xmlns:ds="http://schemas.openxmlformats.org/officeDocument/2006/customXml" ds:itemID="{533E8FA3-9D80-42F8-987E-A657DE2ED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SRP OPERATING CHARACTERISTIC DATA SHEET</vt:lpstr>
      <vt:lpstr>SRP OPERATING CHARACTERISTIC DATA SHEET</vt:lpstr>
    </vt:vector>
  </TitlesOfParts>
  <Company>BIPM</Company>
  <LinksUpToDate>false</LinksUpToDate>
  <CharactersWithSpaces>1923</CharactersWithSpaces>
  <SharedDoc>false</SharedDoc>
  <HLinks>
    <vt:vector size="12" baseType="variant"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>mailto:jviallon@bipm.org</vt:lpwstr>
      </vt:variant>
      <vt:variant>
        <vt:lpwstr/>
      </vt:variant>
      <vt:variant>
        <vt:i4>8323086</vt:i4>
      </vt:variant>
      <vt:variant>
        <vt:i4>0</vt:i4>
      </vt:variant>
      <vt:variant>
        <vt:i4>0</vt:i4>
      </vt:variant>
      <vt:variant>
        <vt:i4>5</vt:i4>
      </vt:variant>
      <vt:variant>
        <vt:lpwstr>http://www.bipm.org/utils/en/pdf/BIPM.QM-K1_protocol.pdf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 Flores</dc:creator>
  <cp:lastModifiedBy>Edgar FLORES JARDINES</cp:lastModifiedBy>
  <cp:revision>2</cp:revision>
  <cp:lastPrinted>2016-03-11T13:04:00Z</cp:lastPrinted>
  <dcterms:created xsi:type="dcterms:W3CDTF">2026-03-30T08:42:00Z</dcterms:created>
  <dcterms:modified xsi:type="dcterms:W3CDTF">2026-03-30T08:42:00Z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Public (No visible marking)</vt:lpwstr>
  </property>
  <property fmtid="{D5CDD505-2E9C-101B-9397-08002B2CF9AE}" pid="3" name="aliashDocumentMarking">
    <vt:lpwstr/>
  </property>
  <property fmtid="{D5CDD505-2E9C-101B-9397-08002B2CF9AE}" pid="4" name="ContentTypeId">
    <vt:lpwstr>0x010100481165852880B14AA0D11774D371EBCE</vt:lpwstr>
  </property>
  <property fmtid="{D5CDD505-2E9C-101B-9397-08002B2CF9AE}" pid="5" name="Order">
    <vt:r8>2411000</vt:r8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