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E74" w:rsidRPr="00CC6ED0" w:rsidRDefault="00796E74" w:rsidP="00D16880">
      <w:pPr>
        <w:jc w:val="center"/>
        <w:rPr>
          <w:rFonts w:cstheme="minorHAnsi"/>
          <w:b/>
          <w:bCs/>
          <w:color w:val="000000" w:themeColor="text1"/>
        </w:rPr>
      </w:pPr>
      <w:r w:rsidRPr="00CC6ED0">
        <w:rPr>
          <w:rFonts w:cstheme="minorHAnsi"/>
          <w:b/>
          <w:bCs/>
          <w:color w:val="000000" w:themeColor="text1"/>
        </w:rPr>
        <w:t>Report from the CCQM Nucleic Analysis Working Group for the period (April 2019 – 2020)</w:t>
      </w:r>
    </w:p>
    <w:p w:rsidR="00796E74" w:rsidRPr="00CC6ED0" w:rsidRDefault="00796E74" w:rsidP="00D16880">
      <w:pPr>
        <w:jc w:val="both"/>
        <w:rPr>
          <w:rFonts w:cstheme="minorHAnsi"/>
          <w:b/>
          <w:color w:val="000000" w:themeColor="text1"/>
        </w:rPr>
      </w:pPr>
      <w:r w:rsidRPr="00CC6ED0">
        <w:rPr>
          <w:rFonts w:cstheme="minorHAnsi"/>
          <w:color w:val="000000" w:themeColor="text1"/>
        </w:rPr>
        <w:t>During this period, the 9</w:t>
      </w:r>
      <w:r w:rsidRPr="00CC6ED0">
        <w:rPr>
          <w:rFonts w:cstheme="minorHAnsi"/>
          <w:color w:val="000000" w:themeColor="text1"/>
          <w:vertAlign w:val="superscript"/>
        </w:rPr>
        <w:t>st</w:t>
      </w:r>
      <w:r w:rsidRPr="00CC6ED0">
        <w:rPr>
          <w:rFonts w:cstheme="minorHAnsi"/>
          <w:color w:val="000000" w:themeColor="text1"/>
        </w:rPr>
        <w:t xml:space="preserve"> CCQM-NAWG meeting was held at INRIM on 3</w:t>
      </w:r>
      <w:r w:rsidRPr="00CC6ED0">
        <w:rPr>
          <w:rFonts w:cstheme="minorHAnsi"/>
          <w:color w:val="000000" w:themeColor="text1"/>
          <w:vertAlign w:val="superscript"/>
        </w:rPr>
        <w:t>rd</w:t>
      </w:r>
      <w:r w:rsidRPr="00CC6ED0">
        <w:rPr>
          <w:rFonts w:cstheme="minorHAnsi"/>
          <w:color w:val="000000" w:themeColor="text1"/>
        </w:rPr>
        <w:t xml:space="preserve"> and 4</w:t>
      </w:r>
      <w:r w:rsidRPr="00CC6ED0">
        <w:rPr>
          <w:rFonts w:cstheme="minorHAnsi"/>
          <w:color w:val="000000" w:themeColor="text1"/>
          <w:vertAlign w:val="superscript"/>
        </w:rPr>
        <w:t>th</w:t>
      </w:r>
      <w:r w:rsidRPr="00CC6ED0">
        <w:rPr>
          <w:rFonts w:cstheme="minorHAnsi"/>
          <w:color w:val="000000" w:themeColor="text1"/>
        </w:rPr>
        <w:t xml:space="preserve"> of October 2019, attended by 22 delegates from </w:t>
      </w:r>
      <w:r w:rsidR="0076580D" w:rsidRPr="00CC6ED0">
        <w:rPr>
          <w:rFonts w:cstheme="minorHAnsi"/>
          <w:color w:val="000000" w:themeColor="text1"/>
        </w:rPr>
        <w:t>16</w:t>
      </w:r>
      <w:r w:rsidRPr="00CC6ED0">
        <w:rPr>
          <w:rFonts w:cstheme="minorHAnsi"/>
          <w:color w:val="000000" w:themeColor="text1"/>
        </w:rPr>
        <w:t xml:space="preserve"> institutes and </w:t>
      </w:r>
      <w:r w:rsidR="0076580D" w:rsidRPr="00CC6ED0">
        <w:rPr>
          <w:rFonts w:cstheme="minorHAnsi"/>
          <w:color w:val="000000" w:themeColor="text1"/>
        </w:rPr>
        <w:t>the 10</w:t>
      </w:r>
      <w:r w:rsidR="0076580D" w:rsidRPr="00CC6ED0">
        <w:rPr>
          <w:rFonts w:cstheme="minorHAnsi"/>
          <w:color w:val="000000" w:themeColor="text1"/>
          <w:vertAlign w:val="superscript"/>
        </w:rPr>
        <w:t>th</w:t>
      </w:r>
      <w:r w:rsidR="0076580D" w:rsidRPr="00CC6ED0">
        <w:rPr>
          <w:rFonts w:cstheme="minorHAnsi"/>
          <w:color w:val="000000" w:themeColor="text1"/>
        </w:rPr>
        <w:t xml:space="preserve"> meeting took place virtually on </w:t>
      </w:r>
      <w:r w:rsidR="0076580D" w:rsidRPr="00CC6ED0">
        <w:rPr>
          <w:rFonts w:cstheme="minorHAnsi"/>
          <w:bCs/>
          <w:color w:val="000000" w:themeColor="text1"/>
        </w:rPr>
        <w:t>6</w:t>
      </w:r>
      <w:r w:rsidR="0076580D" w:rsidRPr="00CC6ED0">
        <w:rPr>
          <w:rFonts w:cstheme="minorHAnsi"/>
          <w:bCs/>
          <w:color w:val="000000" w:themeColor="text1"/>
          <w:vertAlign w:val="superscript"/>
        </w:rPr>
        <w:t>th</w:t>
      </w:r>
      <w:r w:rsidR="0076580D" w:rsidRPr="00CC6ED0">
        <w:rPr>
          <w:rFonts w:cstheme="minorHAnsi"/>
          <w:bCs/>
          <w:color w:val="000000" w:themeColor="text1"/>
        </w:rPr>
        <w:t>, 12</w:t>
      </w:r>
      <w:r w:rsidR="0076580D" w:rsidRPr="00CC6ED0">
        <w:rPr>
          <w:rFonts w:cstheme="minorHAnsi"/>
          <w:bCs/>
          <w:color w:val="000000" w:themeColor="text1"/>
          <w:vertAlign w:val="superscript"/>
        </w:rPr>
        <w:t>th</w:t>
      </w:r>
      <w:r w:rsidR="0076580D" w:rsidRPr="00CC6ED0">
        <w:rPr>
          <w:rFonts w:cstheme="minorHAnsi"/>
          <w:bCs/>
          <w:color w:val="000000" w:themeColor="text1"/>
        </w:rPr>
        <w:t>, 14</w:t>
      </w:r>
      <w:r w:rsidR="0076580D" w:rsidRPr="00CC6ED0">
        <w:rPr>
          <w:rFonts w:cstheme="minorHAnsi"/>
          <w:bCs/>
          <w:color w:val="000000" w:themeColor="text1"/>
          <w:vertAlign w:val="superscript"/>
        </w:rPr>
        <w:t>th</w:t>
      </w:r>
      <w:r w:rsidR="0076580D" w:rsidRPr="00CC6ED0">
        <w:rPr>
          <w:rFonts w:cstheme="minorHAnsi"/>
          <w:bCs/>
          <w:color w:val="000000" w:themeColor="text1"/>
        </w:rPr>
        <w:t xml:space="preserve"> May 2020</w:t>
      </w:r>
      <w:r w:rsidRPr="00CC6ED0">
        <w:rPr>
          <w:rFonts w:cstheme="minorHAnsi"/>
          <w:color w:val="000000" w:themeColor="text1"/>
        </w:rPr>
        <w:t xml:space="preserve">. </w:t>
      </w:r>
      <w:r w:rsidR="0076580D" w:rsidRPr="00CC6ED0">
        <w:rPr>
          <w:rFonts w:cstheme="minorHAnsi"/>
          <w:color w:val="000000" w:themeColor="text1"/>
        </w:rPr>
        <w:t xml:space="preserve">Jim Huggett </w:t>
      </w:r>
      <w:r w:rsidRPr="00CC6ED0">
        <w:rPr>
          <w:rFonts w:cstheme="minorHAnsi"/>
          <w:color w:val="000000" w:themeColor="text1"/>
        </w:rPr>
        <w:t xml:space="preserve">and </w:t>
      </w:r>
      <w:r w:rsidR="0076580D" w:rsidRPr="00CC6ED0">
        <w:rPr>
          <w:rFonts w:cstheme="minorHAnsi"/>
          <w:color w:val="000000" w:themeColor="text1"/>
        </w:rPr>
        <w:t xml:space="preserve">Maxim </w:t>
      </w:r>
      <w:proofErr w:type="spellStart"/>
      <w:r w:rsidR="0076580D" w:rsidRPr="00CC6ED0">
        <w:rPr>
          <w:rFonts w:cstheme="minorHAnsi"/>
          <w:color w:val="000000" w:themeColor="text1"/>
        </w:rPr>
        <w:t>Vonsky</w:t>
      </w:r>
      <w:proofErr w:type="spellEnd"/>
      <w:r w:rsidR="0076580D" w:rsidRPr="00CC6ED0">
        <w:rPr>
          <w:rFonts w:cstheme="minorHAnsi"/>
          <w:color w:val="000000" w:themeColor="text1"/>
        </w:rPr>
        <w:t xml:space="preserve"> </w:t>
      </w:r>
      <w:r w:rsidRPr="00CC6ED0">
        <w:rPr>
          <w:rFonts w:cstheme="minorHAnsi"/>
          <w:color w:val="000000" w:themeColor="text1"/>
        </w:rPr>
        <w:t>started their terms as Chair and Vice Chair respectively.</w:t>
      </w:r>
      <w:r w:rsidR="0076580D" w:rsidRPr="00CC6ED0">
        <w:rPr>
          <w:rFonts w:cstheme="minorHAnsi"/>
          <w:color w:val="000000" w:themeColor="text1"/>
        </w:rPr>
        <w:t xml:space="preserve"> On the 6</w:t>
      </w:r>
      <w:r w:rsidR="0076580D" w:rsidRPr="00CC6ED0">
        <w:rPr>
          <w:rFonts w:cstheme="minorHAnsi"/>
          <w:color w:val="000000" w:themeColor="text1"/>
          <w:vertAlign w:val="superscript"/>
        </w:rPr>
        <w:t>th</w:t>
      </w:r>
      <w:r w:rsidR="0076580D" w:rsidRPr="00CC6ED0">
        <w:rPr>
          <w:rFonts w:cstheme="minorHAnsi"/>
          <w:color w:val="000000" w:themeColor="text1"/>
        </w:rPr>
        <w:t xml:space="preserve"> of May 2020 it was agreed that Megan Cleveland would be the Rapporteur until the October 2023. </w:t>
      </w:r>
      <w:r w:rsidRPr="00CC6ED0">
        <w:rPr>
          <w:rFonts w:cstheme="minorHAnsi"/>
          <w:color w:val="000000" w:themeColor="text1"/>
        </w:rPr>
        <w:t xml:space="preserve">Under the new leadership, there is a </w:t>
      </w:r>
      <w:r w:rsidR="00DC08BC" w:rsidRPr="00CC6ED0">
        <w:rPr>
          <w:rFonts w:cstheme="minorHAnsi"/>
          <w:color w:val="000000" w:themeColor="text1"/>
        </w:rPr>
        <w:t xml:space="preserve">drive to expand metrological considerations from where, in nucleic acid </w:t>
      </w:r>
      <w:r w:rsidR="001205AC">
        <w:rPr>
          <w:rFonts w:cstheme="minorHAnsi"/>
          <w:color w:val="000000" w:themeColor="text1"/>
        </w:rPr>
        <w:t>measurement</w:t>
      </w:r>
      <w:r w:rsidR="00812192">
        <w:rPr>
          <w:rFonts w:cstheme="minorHAnsi"/>
          <w:color w:val="000000" w:themeColor="text1"/>
        </w:rPr>
        <w:t>,</w:t>
      </w:r>
      <w:r w:rsidR="001205AC">
        <w:rPr>
          <w:rFonts w:cstheme="minorHAnsi"/>
          <w:color w:val="000000" w:themeColor="text1"/>
        </w:rPr>
        <w:t xml:space="preserve"> they are</w:t>
      </w:r>
      <w:r w:rsidR="00DC08BC" w:rsidRPr="00CC6ED0">
        <w:rPr>
          <w:rFonts w:cstheme="minorHAnsi"/>
          <w:color w:val="000000" w:themeColor="text1"/>
        </w:rPr>
        <w:t xml:space="preserve"> </w:t>
      </w:r>
      <w:r w:rsidR="00A44A01" w:rsidRPr="00CC6ED0">
        <w:rPr>
          <w:rFonts w:cstheme="minorHAnsi"/>
          <w:color w:val="000000" w:themeColor="text1"/>
        </w:rPr>
        <w:t xml:space="preserve">more </w:t>
      </w:r>
      <w:r w:rsidR="00DC08BC" w:rsidRPr="00CC6ED0">
        <w:rPr>
          <w:rFonts w:cstheme="minorHAnsi"/>
          <w:color w:val="000000" w:themeColor="text1"/>
        </w:rPr>
        <w:t xml:space="preserve">established (such as food testing) into </w:t>
      </w:r>
      <w:r w:rsidR="00A44A01" w:rsidRPr="00CC6ED0">
        <w:rPr>
          <w:rFonts w:cstheme="minorHAnsi"/>
          <w:color w:val="000000" w:themeColor="text1"/>
        </w:rPr>
        <w:t>areas that wou</w:t>
      </w:r>
      <w:r w:rsidR="00C13C72" w:rsidRPr="00CC6ED0">
        <w:rPr>
          <w:rFonts w:cstheme="minorHAnsi"/>
          <w:color w:val="000000" w:themeColor="text1"/>
        </w:rPr>
        <w:t>ld benefit from such approaches</w:t>
      </w:r>
      <w:r w:rsidR="00A44A01" w:rsidRPr="00CC6ED0">
        <w:rPr>
          <w:rFonts w:cstheme="minorHAnsi"/>
          <w:color w:val="000000" w:themeColor="text1"/>
        </w:rPr>
        <w:t xml:space="preserve"> </w:t>
      </w:r>
      <w:r w:rsidR="00C13C72" w:rsidRPr="00CC6ED0">
        <w:rPr>
          <w:rFonts w:cstheme="minorHAnsi"/>
          <w:color w:val="000000" w:themeColor="text1"/>
        </w:rPr>
        <w:t>(e.g.</w:t>
      </w:r>
      <w:r w:rsidR="00A44A01" w:rsidRPr="00CC6ED0">
        <w:rPr>
          <w:rFonts w:cstheme="minorHAnsi"/>
          <w:color w:val="000000" w:themeColor="text1"/>
        </w:rPr>
        <w:t xml:space="preserve"> </w:t>
      </w:r>
      <w:r w:rsidR="00DC08BC" w:rsidRPr="00CC6ED0">
        <w:rPr>
          <w:rFonts w:cstheme="minorHAnsi"/>
          <w:color w:val="000000" w:themeColor="text1"/>
        </w:rPr>
        <w:t>molecular diagnostic</w:t>
      </w:r>
      <w:r w:rsidR="00A44A01" w:rsidRPr="00CC6ED0">
        <w:rPr>
          <w:rFonts w:cstheme="minorHAnsi"/>
          <w:color w:val="000000" w:themeColor="text1"/>
        </w:rPr>
        <w:t>s and bio</w:t>
      </w:r>
      <w:r w:rsidR="00C741F2">
        <w:rPr>
          <w:rFonts w:cstheme="minorHAnsi"/>
          <w:color w:val="000000" w:themeColor="text1"/>
        </w:rPr>
        <w:t>-</w:t>
      </w:r>
      <w:bookmarkStart w:id="0" w:name="_GoBack"/>
      <w:bookmarkEnd w:id="0"/>
      <w:r w:rsidR="00C741F2" w:rsidRPr="00CC6ED0">
        <w:rPr>
          <w:rFonts w:cstheme="minorHAnsi"/>
          <w:color w:val="000000" w:themeColor="text1"/>
        </w:rPr>
        <w:t>manufacturing</w:t>
      </w:r>
      <w:r w:rsidR="00A44A01" w:rsidRPr="00CC6ED0">
        <w:rPr>
          <w:rFonts w:cstheme="minorHAnsi"/>
          <w:color w:val="000000" w:themeColor="text1"/>
        </w:rPr>
        <w:t>/synthetic biology</w:t>
      </w:r>
      <w:r w:rsidR="00C13C72" w:rsidRPr="00CC6ED0">
        <w:rPr>
          <w:rFonts w:cstheme="minorHAnsi"/>
          <w:color w:val="000000" w:themeColor="text1"/>
        </w:rPr>
        <w:t>)</w:t>
      </w:r>
      <w:r w:rsidR="00A44A01" w:rsidRPr="00CC6ED0">
        <w:rPr>
          <w:rFonts w:cstheme="minorHAnsi"/>
          <w:color w:val="000000" w:themeColor="text1"/>
        </w:rPr>
        <w:t xml:space="preserve">. </w:t>
      </w:r>
      <w:r w:rsidR="00C13C72" w:rsidRPr="00CC6ED0">
        <w:rPr>
          <w:rFonts w:cstheme="minorHAnsi"/>
          <w:color w:val="000000" w:themeColor="text1"/>
        </w:rPr>
        <w:t xml:space="preserve">The NAWG will also aim to </w:t>
      </w:r>
      <w:r w:rsidR="001205AC">
        <w:rPr>
          <w:rFonts w:cstheme="minorHAnsi"/>
          <w:color w:val="000000" w:themeColor="text1"/>
        </w:rPr>
        <w:t xml:space="preserve">further </w:t>
      </w:r>
      <w:r w:rsidR="00C13C72" w:rsidRPr="00CC6ED0">
        <w:rPr>
          <w:rFonts w:cstheme="minorHAnsi"/>
          <w:color w:val="000000" w:themeColor="text1"/>
        </w:rPr>
        <w:t xml:space="preserve">establish capacity and confidence amongst NMIs who are newer to molecular methods </w:t>
      </w:r>
      <w:r w:rsidR="00AD4BF0" w:rsidRPr="00CC6ED0">
        <w:rPr>
          <w:rFonts w:cstheme="minorHAnsi"/>
          <w:color w:val="000000" w:themeColor="text1"/>
        </w:rPr>
        <w:t>thereby</w:t>
      </w:r>
      <w:r w:rsidR="00C13C72" w:rsidRPr="00CC6ED0">
        <w:rPr>
          <w:rFonts w:cstheme="minorHAnsi"/>
          <w:color w:val="000000" w:themeColor="text1"/>
        </w:rPr>
        <w:t xml:space="preserve"> establish</w:t>
      </w:r>
      <w:r w:rsidR="00AD4BF0" w:rsidRPr="00CC6ED0">
        <w:rPr>
          <w:rFonts w:cstheme="minorHAnsi"/>
          <w:color w:val="000000" w:themeColor="text1"/>
        </w:rPr>
        <w:t>ing</w:t>
      </w:r>
      <w:r w:rsidR="00C13C72" w:rsidRPr="00CC6ED0">
        <w:rPr>
          <w:rFonts w:cstheme="minorHAnsi"/>
          <w:color w:val="000000" w:themeColor="text1"/>
        </w:rPr>
        <w:t xml:space="preserve"> </w:t>
      </w:r>
      <w:r w:rsidR="00AD4BF0" w:rsidRPr="00CC6ED0">
        <w:rPr>
          <w:rFonts w:cstheme="minorHAnsi"/>
          <w:color w:val="000000" w:themeColor="text1"/>
        </w:rPr>
        <w:t xml:space="preserve">the CCQMs </w:t>
      </w:r>
      <w:r w:rsidR="00C13C72" w:rsidRPr="00CC6ED0">
        <w:rPr>
          <w:rFonts w:cstheme="minorHAnsi"/>
          <w:color w:val="000000" w:themeColor="text1"/>
        </w:rPr>
        <w:t xml:space="preserve">global expertise and leadership </w:t>
      </w:r>
      <w:r w:rsidR="00AD4BF0" w:rsidRPr="00CC6ED0">
        <w:rPr>
          <w:rFonts w:cstheme="minorHAnsi"/>
          <w:color w:val="000000" w:themeColor="text1"/>
        </w:rPr>
        <w:t>in</w:t>
      </w:r>
      <w:r w:rsidR="00C13C72" w:rsidRPr="00CC6ED0">
        <w:rPr>
          <w:rFonts w:cstheme="minorHAnsi"/>
          <w:color w:val="000000" w:themeColor="text1"/>
        </w:rPr>
        <w:t xml:space="preserve"> molecular measurement</w:t>
      </w:r>
      <w:r w:rsidR="00AD4BF0" w:rsidRPr="00CC6ED0">
        <w:rPr>
          <w:rFonts w:cstheme="minorHAnsi"/>
          <w:color w:val="000000" w:themeColor="text1"/>
        </w:rPr>
        <w:t>.</w:t>
      </w:r>
      <w:r w:rsidR="00C13C72" w:rsidRPr="00CC6ED0">
        <w:rPr>
          <w:rFonts w:cstheme="minorHAnsi"/>
          <w:color w:val="000000" w:themeColor="text1"/>
        </w:rPr>
        <w:t xml:space="preserve"> </w:t>
      </w:r>
      <w:r w:rsidRPr="00CC6ED0">
        <w:rPr>
          <w:rFonts w:cstheme="minorHAnsi"/>
          <w:color w:val="000000" w:themeColor="text1"/>
        </w:rPr>
        <w:t xml:space="preserve">The </w:t>
      </w:r>
      <w:r w:rsidR="0076580D" w:rsidRPr="00CC6ED0">
        <w:rPr>
          <w:rFonts w:cstheme="minorHAnsi"/>
          <w:color w:val="000000" w:themeColor="text1"/>
        </w:rPr>
        <w:t>N</w:t>
      </w:r>
      <w:r w:rsidRPr="00CC6ED0">
        <w:rPr>
          <w:rFonts w:cstheme="minorHAnsi"/>
          <w:color w:val="000000" w:themeColor="text1"/>
        </w:rPr>
        <w:t xml:space="preserve">AWG </w:t>
      </w:r>
      <w:r w:rsidR="00C13C72" w:rsidRPr="00CC6ED0">
        <w:rPr>
          <w:rFonts w:cstheme="minorHAnsi"/>
          <w:color w:val="000000" w:themeColor="text1"/>
        </w:rPr>
        <w:t xml:space="preserve">will </w:t>
      </w:r>
      <w:r w:rsidRPr="00CC6ED0">
        <w:rPr>
          <w:rFonts w:cstheme="minorHAnsi"/>
          <w:color w:val="000000" w:themeColor="text1"/>
        </w:rPr>
        <w:t xml:space="preserve">also </w:t>
      </w:r>
      <w:r w:rsidR="00C13C72" w:rsidRPr="00CC6ED0">
        <w:rPr>
          <w:rFonts w:cstheme="minorHAnsi"/>
          <w:color w:val="000000" w:themeColor="text1"/>
        </w:rPr>
        <w:t xml:space="preserve">seek to </w:t>
      </w:r>
      <w:r w:rsidRPr="00CC6ED0">
        <w:rPr>
          <w:rFonts w:cstheme="minorHAnsi"/>
          <w:color w:val="000000" w:themeColor="text1"/>
        </w:rPr>
        <w:t xml:space="preserve">increase impact </w:t>
      </w:r>
      <w:r w:rsidR="00C13C72" w:rsidRPr="00CC6ED0">
        <w:rPr>
          <w:rFonts w:cstheme="minorHAnsi"/>
          <w:color w:val="000000" w:themeColor="text1"/>
        </w:rPr>
        <w:t>via interaction with stakeholders by highlighting the potential role of molecular reference measurement systems for molecular measurement</w:t>
      </w:r>
      <w:r w:rsidRPr="00CC6ED0">
        <w:rPr>
          <w:rFonts w:cstheme="minorHAnsi"/>
          <w:color w:val="000000" w:themeColor="text1"/>
        </w:rPr>
        <w:t>.</w:t>
      </w:r>
    </w:p>
    <w:p w:rsidR="00D16880" w:rsidRPr="00CC6ED0" w:rsidRDefault="00D16880" w:rsidP="00D16880">
      <w:pPr>
        <w:pStyle w:val="Heading1"/>
        <w:numPr>
          <w:ilvl w:val="0"/>
          <w:numId w:val="3"/>
        </w:numPr>
        <w:rPr>
          <w:rFonts w:asciiTheme="minorHAnsi" w:hAnsiTheme="minorHAnsi" w:cstheme="minorHAnsi"/>
          <w:color w:val="000000" w:themeColor="text1"/>
          <w:sz w:val="22"/>
          <w:szCs w:val="22"/>
        </w:rPr>
      </w:pPr>
      <w:r w:rsidRPr="00CC6ED0">
        <w:rPr>
          <w:rFonts w:asciiTheme="minorHAnsi" w:hAnsiTheme="minorHAnsi" w:cstheme="minorHAnsi"/>
          <w:color w:val="000000" w:themeColor="text1"/>
          <w:sz w:val="22"/>
          <w:szCs w:val="22"/>
        </w:rPr>
        <w:t>Ongoing Key comparisons and pilot studies</w:t>
      </w:r>
    </w:p>
    <w:p w:rsidR="00375F90" w:rsidRPr="00CC6ED0" w:rsidRDefault="00375F90" w:rsidP="00D16880">
      <w:pPr>
        <w:pStyle w:val="Heading1"/>
        <w:numPr>
          <w:ilvl w:val="0"/>
          <w:numId w:val="4"/>
        </w:numPr>
        <w:rPr>
          <w:rFonts w:asciiTheme="minorHAnsi" w:hAnsiTheme="minorHAnsi" w:cstheme="minorHAnsi"/>
          <w:color w:val="000000" w:themeColor="text1"/>
          <w:sz w:val="22"/>
          <w:szCs w:val="22"/>
        </w:rPr>
      </w:pPr>
      <w:r w:rsidRPr="00CC6ED0">
        <w:rPr>
          <w:rFonts w:asciiTheme="minorHAnsi" w:hAnsiTheme="minorHAnsi" w:cstheme="minorHAnsi"/>
          <w:color w:val="000000" w:themeColor="text1"/>
          <w:sz w:val="22"/>
          <w:szCs w:val="22"/>
        </w:rPr>
        <w:t xml:space="preserve">CCQM NAWG </w:t>
      </w:r>
      <w:proofErr w:type="gramStart"/>
      <w:r w:rsidRPr="00CC6ED0">
        <w:rPr>
          <w:rFonts w:asciiTheme="minorHAnsi" w:hAnsiTheme="minorHAnsi" w:cstheme="minorHAnsi"/>
          <w:color w:val="000000" w:themeColor="text1"/>
          <w:sz w:val="22"/>
          <w:szCs w:val="22"/>
        </w:rPr>
        <w:t>P184(</w:t>
      </w:r>
      <w:proofErr w:type="gramEnd"/>
      <w:r w:rsidRPr="00CC6ED0">
        <w:rPr>
          <w:rFonts w:asciiTheme="minorHAnsi" w:hAnsiTheme="minorHAnsi" w:cstheme="minorHAnsi"/>
          <w:color w:val="000000" w:themeColor="text1"/>
          <w:sz w:val="22"/>
          <w:szCs w:val="22"/>
        </w:rPr>
        <w:t>NAWG) Copy number concentration and fractional abundance of a mutation (SNV or INDEL) mixed with wild-type DNA</w:t>
      </w:r>
    </w:p>
    <w:p w:rsidR="00375F90" w:rsidRPr="00CC6ED0" w:rsidRDefault="00375F90" w:rsidP="00D16880">
      <w:pPr>
        <w:spacing w:after="0"/>
        <w:jc w:val="both"/>
        <w:rPr>
          <w:rFonts w:cstheme="minorHAnsi"/>
          <w:color w:val="000000" w:themeColor="text1"/>
        </w:rPr>
      </w:pPr>
      <w:r w:rsidRPr="00CC6ED0">
        <w:rPr>
          <w:rFonts w:cstheme="minorHAnsi"/>
          <w:color w:val="000000" w:themeColor="text1"/>
        </w:rPr>
        <w:t xml:space="preserve">The aim of CCQM P184 is to support traceable measurement of the copy number concentration and copy number concentration ratio (sometimes termed fractional abundance or variant allele frequency (VAF)) of a biologically-relevant gene mutations (SNV and INDEL) when present in a background of wild-type DNA. This will evaluate variability between laboratories in determining copy number concentration and fractional abundance and provide evidence for Calibration and Measurement Claims by participating laboratories. This study has been completed </w:t>
      </w:r>
      <w:r w:rsidR="00095346" w:rsidRPr="00CC6ED0">
        <w:rPr>
          <w:rFonts w:cstheme="minorHAnsi"/>
          <w:color w:val="000000" w:themeColor="text1"/>
        </w:rPr>
        <w:t>and the report was written over this period with some additional experiments performed to better understand some of the findings.</w:t>
      </w:r>
      <w:r w:rsidR="0093588E">
        <w:rPr>
          <w:rFonts w:cstheme="minorHAnsi"/>
          <w:color w:val="000000" w:themeColor="text1"/>
        </w:rPr>
        <w:t xml:space="preserve"> The draft will be distributed to NAWG members in 2020.</w:t>
      </w:r>
    </w:p>
    <w:p w:rsidR="00796E74" w:rsidRPr="00CC6ED0" w:rsidRDefault="00796E74" w:rsidP="00D16880">
      <w:pPr>
        <w:jc w:val="both"/>
        <w:rPr>
          <w:rFonts w:cstheme="minorHAnsi"/>
          <w:b/>
          <w:color w:val="000000" w:themeColor="text1"/>
        </w:rPr>
      </w:pPr>
    </w:p>
    <w:p w:rsidR="00547405" w:rsidRPr="00CC6ED0" w:rsidRDefault="00E132B6" w:rsidP="00D16880">
      <w:pPr>
        <w:pStyle w:val="ListParagraph"/>
        <w:numPr>
          <w:ilvl w:val="0"/>
          <w:numId w:val="4"/>
        </w:numPr>
        <w:rPr>
          <w:rFonts w:asciiTheme="minorHAnsi" w:hAnsiTheme="minorHAnsi" w:cstheme="minorHAnsi"/>
          <w:b/>
          <w:color w:val="000000" w:themeColor="text1"/>
          <w:sz w:val="22"/>
        </w:rPr>
      </w:pPr>
      <w:r w:rsidRPr="00CC6ED0">
        <w:rPr>
          <w:rFonts w:asciiTheme="minorHAnsi" w:hAnsiTheme="minorHAnsi" w:cstheme="minorHAnsi"/>
          <w:b/>
          <w:color w:val="000000" w:themeColor="text1"/>
          <w:sz w:val="22"/>
        </w:rPr>
        <w:t>CCQM P199 (NAWG) HIV-1 RNA copy number quantification</w:t>
      </w:r>
    </w:p>
    <w:p w:rsidR="008E563C" w:rsidRPr="00CC6ED0" w:rsidRDefault="00E132B6" w:rsidP="00D16880">
      <w:pPr>
        <w:jc w:val="both"/>
        <w:rPr>
          <w:rFonts w:cstheme="minorHAnsi"/>
          <w:color w:val="000000" w:themeColor="text1"/>
        </w:rPr>
      </w:pPr>
      <w:r w:rsidRPr="00CC6ED0">
        <w:rPr>
          <w:rFonts w:cstheme="minorHAnsi"/>
          <w:color w:val="000000" w:themeColor="text1"/>
        </w:rPr>
        <w:t>The aim of CCQM P199 is to support higher order measurement of RNA copy number concentration, in particular viral RNA quantification. Human Immunodeficiency Virus-1 (HIV-1) was chosen as the model for the study as it is major pathogen which is quantified clinically to guide treatment and monitor resistance, and is reported as an ‘absolute’ concentration (such as copies/mL plasma).</w:t>
      </w:r>
      <w:r w:rsidR="008E563C" w:rsidRPr="00CC6ED0">
        <w:rPr>
          <w:rFonts w:cstheme="minorHAnsi"/>
          <w:color w:val="000000" w:themeColor="text1"/>
        </w:rPr>
        <w:t xml:space="preserve"> The </w:t>
      </w:r>
      <w:proofErr w:type="spellStart"/>
      <w:r w:rsidR="008E563C" w:rsidRPr="00CC6ED0">
        <w:rPr>
          <w:rFonts w:cstheme="minorHAnsi"/>
          <w:color w:val="000000" w:themeColor="text1"/>
        </w:rPr>
        <w:t>measurand</w:t>
      </w:r>
      <w:proofErr w:type="spellEnd"/>
      <w:r w:rsidR="008E563C" w:rsidRPr="00CC6ED0">
        <w:rPr>
          <w:rFonts w:cstheme="minorHAnsi"/>
          <w:color w:val="000000" w:themeColor="text1"/>
        </w:rPr>
        <w:t xml:space="preserve"> for the study was the RNA copy number concentration of the </w:t>
      </w:r>
      <w:r w:rsidR="008E563C" w:rsidRPr="00CC6ED0">
        <w:rPr>
          <w:rFonts w:cstheme="minorHAnsi"/>
          <w:i/>
          <w:color w:val="000000" w:themeColor="text1"/>
        </w:rPr>
        <w:t>gag</w:t>
      </w:r>
      <w:r w:rsidR="008E563C" w:rsidRPr="00CC6ED0">
        <w:rPr>
          <w:rFonts w:cstheme="minorHAnsi"/>
          <w:color w:val="000000" w:themeColor="text1"/>
        </w:rPr>
        <w:t xml:space="preserve"> gene (expressed in copies per µL (c/µL)), corresponding to a specific region of 1467 bases within the HIV-1 genome. </w:t>
      </w:r>
    </w:p>
    <w:p w:rsidR="008E563C" w:rsidRPr="00CC6ED0" w:rsidRDefault="00E132B6" w:rsidP="00D16880">
      <w:pPr>
        <w:jc w:val="both"/>
        <w:rPr>
          <w:rFonts w:cstheme="minorHAnsi"/>
          <w:color w:val="000000" w:themeColor="text1"/>
        </w:rPr>
      </w:pPr>
      <w:r w:rsidRPr="00CC6ED0">
        <w:rPr>
          <w:rFonts w:cstheme="minorHAnsi"/>
          <w:color w:val="000000" w:themeColor="text1"/>
        </w:rPr>
        <w:t>Applying the design of earlier study CCQM P154 (Absolute Quantification of DNA), P199 aimed to compare approaches based on molecular counting (digital PCR</w:t>
      </w:r>
      <w:r w:rsidR="005E4D5D" w:rsidRPr="00CC6ED0">
        <w:rPr>
          <w:rFonts w:cstheme="minorHAnsi"/>
          <w:color w:val="000000" w:themeColor="text1"/>
        </w:rPr>
        <w:t xml:space="preserve"> </w:t>
      </w:r>
      <w:r w:rsidRPr="00CC6ED0">
        <w:rPr>
          <w:rFonts w:cstheme="minorHAnsi"/>
          <w:color w:val="000000" w:themeColor="text1"/>
        </w:rPr>
        <w:t>and single molecule flow cytometry) with more established chemical analysis methods</w:t>
      </w:r>
      <w:r w:rsidR="008E563C" w:rsidRPr="00CC6ED0">
        <w:rPr>
          <w:rFonts w:cstheme="minorHAnsi"/>
          <w:color w:val="000000" w:themeColor="text1"/>
        </w:rPr>
        <w:t xml:space="preserve"> traceable to the mol</w:t>
      </w:r>
      <w:r w:rsidRPr="00CC6ED0">
        <w:rPr>
          <w:rFonts w:cstheme="minorHAnsi"/>
          <w:color w:val="000000" w:themeColor="text1"/>
        </w:rPr>
        <w:t xml:space="preserve">. The National Measurement Laboratory hosted at LGC (NML) coordinated the study with the support of NIBSC. To facilitate comparison of orthogonal methods, the coordinating laboratory </w:t>
      </w:r>
      <w:r w:rsidR="005E7F02" w:rsidRPr="00CC6ED0">
        <w:rPr>
          <w:rFonts w:cstheme="minorHAnsi"/>
          <w:color w:val="000000" w:themeColor="text1"/>
        </w:rPr>
        <w:t>prepared</w:t>
      </w:r>
      <w:r w:rsidRPr="00CC6ED0">
        <w:rPr>
          <w:rFonts w:cstheme="minorHAnsi"/>
          <w:color w:val="000000" w:themeColor="text1"/>
        </w:rPr>
        <w:t xml:space="preserve"> </w:t>
      </w:r>
      <w:r w:rsidR="00123ECE" w:rsidRPr="00CC6ED0">
        <w:rPr>
          <w:rFonts w:cstheme="minorHAnsi"/>
          <w:color w:val="000000" w:themeColor="text1"/>
        </w:rPr>
        <w:t xml:space="preserve">two </w:t>
      </w:r>
      <w:r w:rsidRPr="00CC6ED0">
        <w:rPr>
          <w:rFonts w:cstheme="minorHAnsi"/>
          <w:color w:val="000000" w:themeColor="text1"/>
        </w:rPr>
        <w:t>materials</w:t>
      </w:r>
      <w:r w:rsidR="005E7F02" w:rsidRPr="00CC6ED0">
        <w:rPr>
          <w:rFonts w:cstheme="minorHAnsi"/>
          <w:color w:val="000000" w:themeColor="text1"/>
        </w:rPr>
        <w:t xml:space="preserve"> by serial of</w:t>
      </w:r>
      <w:r w:rsidR="00123ECE" w:rsidRPr="00CC6ED0">
        <w:rPr>
          <w:rFonts w:cstheme="minorHAnsi"/>
          <w:color w:val="000000" w:themeColor="text1"/>
        </w:rPr>
        <w:t xml:space="preserve"> a</w:t>
      </w:r>
      <w:r w:rsidR="005E7F02" w:rsidRPr="00CC6ED0">
        <w:rPr>
          <w:rFonts w:cstheme="minorHAnsi"/>
          <w:color w:val="000000" w:themeColor="text1"/>
        </w:rPr>
        <w:t xml:space="preserve"> single stock of</w:t>
      </w:r>
      <w:r w:rsidR="00123ECE" w:rsidRPr="00CC6ED0">
        <w:rPr>
          <w:rFonts w:cstheme="minorHAnsi"/>
          <w:color w:val="000000" w:themeColor="text1"/>
        </w:rPr>
        <w:t xml:space="preserve"> </w:t>
      </w:r>
      <w:r w:rsidR="00123ECE" w:rsidRPr="00CC6ED0">
        <w:rPr>
          <w:rFonts w:cstheme="minorHAnsi"/>
          <w:i/>
          <w:color w:val="000000" w:themeColor="text1"/>
        </w:rPr>
        <w:t>in vitro</w:t>
      </w:r>
      <w:r w:rsidR="005E7F02" w:rsidRPr="00CC6ED0">
        <w:rPr>
          <w:rFonts w:cstheme="minorHAnsi"/>
          <w:color w:val="000000" w:themeColor="text1"/>
        </w:rPr>
        <w:t xml:space="preserve"> synthesised RNA, </w:t>
      </w:r>
      <w:r w:rsidR="00123ECE" w:rsidRPr="00CC6ED0">
        <w:rPr>
          <w:rFonts w:cstheme="minorHAnsi"/>
          <w:color w:val="000000" w:themeColor="text1"/>
        </w:rPr>
        <w:t xml:space="preserve">which were suitable for </w:t>
      </w:r>
      <w:r w:rsidR="005E4D5D" w:rsidRPr="00CC6ED0">
        <w:rPr>
          <w:rFonts w:cstheme="minorHAnsi"/>
          <w:color w:val="000000" w:themeColor="text1"/>
        </w:rPr>
        <w:t xml:space="preserve">reverse transcription </w:t>
      </w:r>
      <w:r w:rsidR="00123ECE" w:rsidRPr="00CC6ED0">
        <w:rPr>
          <w:rFonts w:cstheme="minorHAnsi"/>
          <w:color w:val="000000" w:themeColor="text1"/>
        </w:rPr>
        <w:t xml:space="preserve">digital PCR </w:t>
      </w:r>
      <w:r w:rsidR="005E4D5D" w:rsidRPr="00CC6ED0">
        <w:rPr>
          <w:rFonts w:cstheme="minorHAnsi"/>
          <w:color w:val="000000" w:themeColor="text1"/>
        </w:rPr>
        <w:t>(RT-</w:t>
      </w:r>
      <w:proofErr w:type="spellStart"/>
      <w:r w:rsidR="005E4D5D" w:rsidRPr="00CC6ED0">
        <w:rPr>
          <w:rFonts w:cstheme="minorHAnsi"/>
          <w:color w:val="000000" w:themeColor="text1"/>
        </w:rPr>
        <w:t>dPCR</w:t>
      </w:r>
      <w:proofErr w:type="spellEnd"/>
      <w:r w:rsidR="005E4D5D" w:rsidRPr="00CC6ED0">
        <w:rPr>
          <w:rFonts w:cstheme="minorHAnsi"/>
          <w:color w:val="000000" w:themeColor="text1"/>
        </w:rPr>
        <w:t xml:space="preserve">) </w:t>
      </w:r>
      <w:r w:rsidR="00123ECE" w:rsidRPr="00CC6ED0">
        <w:rPr>
          <w:rFonts w:cstheme="minorHAnsi"/>
          <w:color w:val="000000" w:themeColor="text1"/>
        </w:rPr>
        <w:t>(Study Material 1 containing ~10</w:t>
      </w:r>
      <w:r w:rsidR="00123ECE" w:rsidRPr="00CC6ED0">
        <w:rPr>
          <w:rFonts w:cstheme="minorHAnsi"/>
          <w:color w:val="000000" w:themeColor="text1"/>
          <w:vertAlign w:val="superscript"/>
        </w:rPr>
        <w:t>3</w:t>
      </w:r>
      <w:r w:rsidR="00123ECE" w:rsidRPr="00CC6ED0">
        <w:rPr>
          <w:rFonts w:cstheme="minorHAnsi"/>
          <w:color w:val="000000" w:themeColor="text1"/>
        </w:rPr>
        <w:t xml:space="preserve"> copies/</w:t>
      </w:r>
      <w:proofErr w:type="spellStart"/>
      <w:r w:rsidR="00123ECE" w:rsidRPr="00CC6ED0">
        <w:rPr>
          <w:rFonts w:cstheme="minorHAnsi"/>
          <w:color w:val="000000" w:themeColor="text1"/>
        </w:rPr>
        <w:t>ul</w:t>
      </w:r>
      <w:proofErr w:type="spellEnd"/>
      <w:r w:rsidR="00123ECE" w:rsidRPr="00CC6ED0">
        <w:rPr>
          <w:rFonts w:cstheme="minorHAnsi"/>
          <w:color w:val="000000" w:themeColor="text1"/>
        </w:rPr>
        <w:t xml:space="preserve">) and chemical and flow </w:t>
      </w:r>
      <w:proofErr w:type="spellStart"/>
      <w:r w:rsidR="00123ECE" w:rsidRPr="00CC6ED0">
        <w:rPr>
          <w:rFonts w:cstheme="minorHAnsi"/>
          <w:color w:val="000000" w:themeColor="text1"/>
        </w:rPr>
        <w:t>cytometric</w:t>
      </w:r>
      <w:proofErr w:type="spellEnd"/>
      <w:r w:rsidR="00123ECE" w:rsidRPr="00CC6ED0">
        <w:rPr>
          <w:rFonts w:cstheme="minorHAnsi"/>
          <w:color w:val="000000" w:themeColor="text1"/>
        </w:rPr>
        <w:t xml:space="preserve"> methods (Study Material 2 containing ~10</w:t>
      </w:r>
      <w:r w:rsidR="00123ECE" w:rsidRPr="00CC6ED0">
        <w:rPr>
          <w:rFonts w:cstheme="minorHAnsi"/>
          <w:color w:val="000000" w:themeColor="text1"/>
          <w:vertAlign w:val="superscript"/>
        </w:rPr>
        <w:t>9</w:t>
      </w:r>
      <w:r w:rsidR="00123ECE" w:rsidRPr="00CC6ED0">
        <w:rPr>
          <w:rFonts w:cstheme="minorHAnsi"/>
          <w:color w:val="000000" w:themeColor="text1"/>
        </w:rPr>
        <w:t xml:space="preserve"> copies/</w:t>
      </w:r>
      <w:proofErr w:type="spellStart"/>
      <w:r w:rsidR="00123ECE" w:rsidRPr="00CC6ED0">
        <w:rPr>
          <w:rFonts w:cstheme="minorHAnsi"/>
          <w:color w:val="000000" w:themeColor="text1"/>
        </w:rPr>
        <w:t>ul</w:t>
      </w:r>
      <w:proofErr w:type="spellEnd"/>
      <w:r w:rsidR="00123ECE" w:rsidRPr="00CC6ED0">
        <w:rPr>
          <w:rFonts w:cstheme="minorHAnsi"/>
          <w:color w:val="000000" w:themeColor="text1"/>
        </w:rPr>
        <w:t xml:space="preserve">). </w:t>
      </w:r>
      <w:r w:rsidRPr="00CC6ED0">
        <w:rPr>
          <w:rFonts w:cstheme="minorHAnsi"/>
          <w:color w:val="000000" w:themeColor="text1"/>
        </w:rPr>
        <w:t xml:space="preserve"> </w:t>
      </w:r>
      <w:r w:rsidR="00123ECE" w:rsidRPr="00CC6ED0">
        <w:rPr>
          <w:rFonts w:cstheme="minorHAnsi"/>
          <w:color w:val="000000" w:themeColor="text1"/>
        </w:rPr>
        <w:t>A third Study Material containing purified HIV-1 viral genomic RNA was generated from viral stocks used to prepare the WHO 3rd and 4th International Standard (IS) for HIV-1 (NIBSC). Thi</w:t>
      </w:r>
      <w:r w:rsidR="008E563C" w:rsidRPr="00CC6ED0">
        <w:rPr>
          <w:rFonts w:cstheme="minorHAnsi"/>
          <w:color w:val="000000" w:themeColor="text1"/>
        </w:rPr>
        <w:t xml:space="preserve">rteen laboratories participated in the analysis of Study Material 1, </w:t>
      </w:r>
      <w:r w:rsidR="00B30704" w:rsidRPr="00CC6ED0">
        <w:rPr>
          <w:rFonts w:cstheme="minorHAnsi"/>
          <w:color w:val="000000" w:themeColor="text1"/>
        </w:rPr>
        <w:t xml:space="preserve">the results of </w:t>
      </w:r>
      <w:r w:rsidR="008E563C" w:rsidRPr="00CC6ED0">
        <w:rPr>
          <w:rFonts w:cstheme="minorHAnsi"/>
          <w:color w:val="000000" w:themeColor="text1"/>
        </w:rPr>
        <w:lastRenderedPageBreak/>
        <w:t>which were compared with the results of four laboratories performing orthogonal methods (HPLC-UV, ID-MS and single molecule flow cytometry)</w:t>
      </w:r>
      <w:r w:rsidR="005E4D5D" w:rsidRPr="00CC6ED0">
        <w:rPr>
          <w:rFonts w:cstheme="minorHAnsi"/>
          <w:color w:val="000000" w:themeColor="text1"/>
        </w:rPr>
        <w:t xml:space="preserve"> by extrapolating the results based on the gravimetric dilution used to prepare Study Material 1</w:t>
      </w:r>
      <w:r w:rsidR="008E563C" w:rsidRPr="00CC6ED0">
        <w:rPr>
          <w:rFonts w:cstheme="minorHAnsi"/>
          <w:color w:val="000000" w:themeColor="text1"/>
        </w:rPr>
        <w:t xml:space="preserve"> (</w:t>
      </w:r>
      <w:r w:rsidR="008E563C" w:rsidRPr="00CC6ED0">
        <w:rPr>
          <w:rFonts w:cstheme="minorHAnsi"/>
          <w:b/>
          <w:color w:val="000000" w:themeColor="text1"/>
        </w:rPr>
        <w:t>Figure</w:t>
      </w:r>
      <w:r w:rsidR="008E563C" w:rsidRPr="00CC6ED0">
        <w:rPr>
          <w:rFonts w:cstheme="minorHAnsi"/>
          <w:color w:val="000000" w:themeColor="text1"/>
        </w:rPr>
        <w:t xml:space="preserve">). </w:t>
      </w:r>
      <w:r w:rsidR="00A1402B" w:rsidRPr="00CC6ED0">
        <w:rPr>
          <w:rFonts w:cstheme="minorHAnsi"/>
          <w:color w:val="000000" w:themeColor="text1"/>
        </w:rPr>
        <w:t xml:space="preserve">Inter-laboratory reproducibility (CV) of </w:t>
      </w:r>
      <w:r w:rsidR="00B30704" w:rsidRPr="00CC6ED0">
        <w:rPr>
          <w:rFonts w:cstheme="minorHAnsi"/>
          <w:color w:val="000000" w:themeColor="text1"/>
        </w:rPr>
        <w:t>RT-</w:t>
      </w:r>
      <w:proofErr w:type="spellStart"/>
      <w:r w:rsidR="00B30704" w:rsidRPr="00CC6ED0">
        <w:rPr>
          <w:rFonts w:cstheme="minorHAnsi"/>
          <w:color w:val="000000" w:themeColor="text1"/>
        </w:rPr>
        <w:t>dPCR</w:t>
      </w:r>
      <w:proofErr w:type="spellEnd"/>
      <w:r w:rsidR="00B30704" w:rsidRPr="00CC6ED0">
        <w:rPr>
          <w:rFonts w:cstheme="minorHAnsi"/>
          <w:color w:val="000000" w:themeColor="text1"/>
        </w:rPr>
        <w:t xml:space="preserve"> results </w:t>
      </w:r>
      <w:r w:rsidR="00A1402B" w:rsidRPr="00CC6ED0">
        <w:rPr>
          <w:rFonts w:cstheme="minorHAnsi"/>
          <w:color w:val="000000" w:themeColor="text1"/>
        </w:rPr>
        <w:t>was 21%</w:t>
      </w:r>
      <w:r w:rsidR="00B30704" w:rsidRPr="00CC6ED0">
        <w:rPr>
          <w:rFonts w:cstheme="minorHAnsi"/>
          <w:color w:val="000000" w:themeColor="text1"/>
        </w:rPr>
        <w:t>,</w:t>
      </w:r>
      <w:r w:rsidR="00A1402B" w:rsidRPr="00CC6ED0">
        <w:rPr>
          <w:rFonts w:cstheme="minorHAnsi"/>
          <w:color w:val="000000" w:themeColor="text1"/>
        </w:rPr>
        <w:t xml:space="preserve"> which is impressive considering all laboratories developed assays independently and without calibration; and offers a significant improvement compared to diagnostic tests which offer vary quantitatively by an order of magnitude. The extrapolated values assi</w:t>
      </w:r>
      <w:r w:rsidR="00B30704" w:rsidRPr="00CC6ED0">
        <w:rPr>
          <w:rFonts w:cstheme="minorHAnsi"/>
          <w:color w:val="000000" w:themeColor="text1"/>
        </w:rPr>
        <w:t xml:space="preserve">gned to Material </w:t>
      </w:r>
      <w:r w:rsidR="00A1402B" w:rsidRPr="00CC6ED0">
        <w:rPr>
          <w:rFonts w:cstheme="minorHAnsi"/>
          <w:color w:val="000000" w:themeColor="text1"/>
        </w:rPr>
        <w:t>2 using orthogonal techniques were higher on average compared to the RT-</w:t>
      </w:r>
      <w:proofErr w:type="spellStart"/>
      <w:r w:rsidR="00A1402B" w:rsidRPr="00CC6ED0">
        <w:rPr>
          <w:rFonts w:cstheme="minorHAnsi"/>
          <w:color w:val="000000" w:themeColor="text1"/>
        </w:rPr>
        <w:t>dPCR</w:t>
      </w:r>
      <w:proofErr w:type="spellEnd"/>
      <w:r w:rsidR="00A1402B" w:rsidRPr="00CC6ED0">
        <w:rPr>
          <w:rFonts w:cstheme="minorHAnsi"/>
          <w:color w:val="000000" w:themeColor="text1"/>
        </w:rPr>
        <w:t xml:space="preserve"> results, suggesting potential sources of negative bias affecting RT-</w:t>
      </w:r>
      <w:proofErr w:type="spellStart"/>
      <w:r w:rsidR="00A1402B" w:rsidRPr="00CC6ED0">
        <w:rPr>
          <w:rFonts w:cstheme="minorHAnsi"/>
          <w:color w:val="000000" w:themeColor="text1"/>
        </w:rPr>
        <w:t>dPCR</w:t>
      </w:r>
      <w:proofErr w:type="spellEnd"/>
      <w:r w:rsidR="00A1402B" w:rsidRPr="00CC6ED0">
        <w:rPr>
          <w:rFonts w:cstheme="minorHAnsi"/>
          <w:color w:val="000000" w:themeColor="text1"/>
        </w:rPr>
        <w:t xml:space="preserve"> and/or positive bias affecting orthogonal approaches (such as the sensitivity of ID-MS to nucleotide impurities). </w:t>
      </w:r>
      <w:r w:rsidR="00B30704" w:rsidRPr="00CC6ED0">
        <w:rPr>
          <w:rFonts w:cstheme="minorHAnsi"/>
          <w:color w:val="000000" w:themeColor="text1"/>
        </w:rPr>
        <w:t xml:space="preserve"> </w:t>
      </w:r>
      <w:r w:rsidR="00A1402B" w:rsidRPr="00CC6ED0">
        <w:rPr>
          <w:rFonts w:cstheme="minorHAnsi"/>
          <w:color w:val="000000" w:themeColor="text1"/>
        </w:rPr>
        <w:t xml:space="preserve">Follow-up work is ongoing to investigate these. </w:t>
      </w:r>
    </w:p>
    <w:p w:rsidR="00E132B6" w:rsidRPr="00CC6ED0" w:rsidRDefault="005E7F02" w:rsidP="00D16880">
      <w:pPr>
        <w:jc w:val="both"/>
        <w:rPr>
          <w:rFonts w:cstheme="minorHAnsi"/>
          <w:color w:val="000000" w:themeColor="text1"/>
        </w:rPr>
      </w:pPr>
      <w:r w:rsidRPr="00CC6ED0">
        <w:rPr>
          <w:rFonts w:cstheme="minorHAnsi"/>
          <w:noProof/>
          <w:color w:val="000000" w:themeColor="text1"/>
          <w:lang w:eastAsia="en-GB"/>
        </w:rPr>
        <w:drawing>
          <wp:inline distT="0" distB="0" distL="0" distR="0" wp14:anchorId="3B8DA090" wp14:editId="2EC59D38">
            <wp:extent cx="5731510" cy="3797935"/>
            <wp:effectExtent l="0" t="0" r="2540"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008E563C" w:rsidRPr="00CC6ED0">
        <w:rPr>
          <w:rFonts w:cstheme="minorHAnsi"/>
          <w:color w:val="000000" w:themeColor="text1"/>
        </w:rPr>
        <w:t xml:space="preserve">  </w:t>
      </w:r>
    </w:p>
    <w:p w:rsidR="005E4D5D" w:rsidRPr="00CC6ED0" w:rsidRDefault="005E4D5D" w:rsidP="00D16880">
      <w:pPr>
        <w:jc w:val="both"/>
        <w:rPr>
          <w:rFonts w:cstheme="minorHAnsi"/>
          <w:color w:val="000000" w:themeColor="text1"/>
        </w:rPr>
      </w:pPr>
      <w:r w:rsidRPr="00CC6ED0">
        <w:rPr>
          <w:rFonts w:cstheme="minorHAnsi"/>
          <w:b/>
          <w:color w:val="000000" w:themeColor="text1"/>
        </w:rPr>
        <w:t>Figure</w:t>
      </w:r>
      <w:r w:rsidRPr="00CC6ED0">
        <w:rPr>
          <w:rFonts w:cstheme="minorHAnsi"/>
          <w:color w:val="000000" w:themeColor="text1"/>
        </w:rPr>
        <w:t>: Comparison of CCQM P199 participant results for RT-</w:t>
      </w:r>
      <w:proofErr w:type="spellStart"/>
      <w:r w:rsidRPr="00CC6ED0">
        <w:rPr>
          <w:rFonts w:cstheme="minorHAnsi"/>
          <w:color w:val="000000" w:themeColor="text1"/>
        </w:rPr>
        <w:t>dPCR</w:t>
      </w:r>
      <w:proofErr w:type="spellEnd"/>
      <w:r w:rsidRPr="00CC6ED0">
        <w:rPr>
          <w:rFonts w:cstheme="minorHAnsi"/>
          <w:color w:val="000000" w:themeColor="text1"/>
        </w:rPr>
        <w:t xml:space="preserve"> (Study Material 1) and orthogonal techniques (Study Material 2). Key: participant results for Study Material 1 (</w:t>
      </w:r>
      <w:r w:rsidRPr="00CC6ED0">
        <w:rPr>
          <w:rFonts w:cstheme="minorHAnsi"/>
          <w:color w:val="000000" w:themeColor="text1"/>
        </w:rPr>
        <w:sym w:font="Wingdings" w:char="F075"/>
      </w:r>
      <w:r w:rsidRPr="00CC6ED0">
        <w:rPr>
          <w:rFonts w:cstheme="minorHAnsi"/>
          <w:color w:val="000000" w:themeColor="text1"/>
        </w:rPr>
        <w:t>); extrapolated results for Study Material 2</w:t>
      </w:r>
      <w:r w:rsidR="002F3EF0" w:rsidRPr="00CC6ED0">
        <w:rPr>
          <w:rFonts w:cstheme="minorHAnsi"/>
          <w:color w:val="000000" w:themeColor="text1"/>
        </w:rPr>
        <w:t xml:space="preserve"> taking into account 10</w:t>
      </w:r>
      <w:r w:rsidR="002F3EF0" w:rsidRPr="00CC6ED0">
        <w:rPr>
          <w:rFonts w:cstheme="minorHAnsi"/>
          <w:color w:val="000000" w:themeColor="text1"/>
          <w:vertAlign w:val="superscript"/>
        </w:rPr>
        <w:t>6</w:t>
      </w:r>
      <w:r w:rsidR="002F3EF0" w:rsidRPr="00CC6ED0">
        <w:rPr>
          <w:rFonts w:cstheme="minorHAnsi"/>
          <w:color w:val="000000" w:themeColor="text1"/>
        </w:rPr>
        <w:t>-fold dilution</w:t>
      </w:r>
      <w:r w:rsidRPr="00CC6ED0">
        <w:rPr>
          <w:rFonts w:cstheme="minorHAnsi"/>
          <w:color w:val="000000" w:themeColor="text1"/>
        </w:rPr>
        <w:t xml:space="preserve"> (</w:t>
      </w:r>
      <w:r w:rsidRPr="00CC6ED0">
        <w:rPr>
          <w:rFonts w:cstheme="minorHAnsi"/>
          <w:color w:val="000000" w:themeColor="text1"/>
        </w:rPr>
        <w:sym w:font="Wingdings" w:char="F06E"/>
      </w:r>
      <w:r w:rsidRPr="00CC6ED0">
        <w:rPr>
          <w:rFonts w:cstheme="minorHAnsi"/>
          <w:color w:val="000000" w:themeColor="text1"/>
        </w:rPr>
        <w:t xml:space="preserve">). Grey dash line shows median of nominated results for Study Material 1. Orange dashed line shows median of extrapolated results for Study Material 2. Error bars reflect expanded uncertainty. </w:t>
      </w:r>
    </w:p>
    <w:p w:rsidR="00095346" w:rsidRPr="00CC6ED0" w:rsidRDefault="00095346" w:rsidP="00D16880">
      <w:pPr>
        <w:jc w:val="both"/>
        <w:rPr>
          <w:rFonts w:cstheme="minorHAnsi"/>
          <w:color w:val="000000" w:themeColor="text1"/>
        </w:rPr>
      </w:pPr>
    </w:p>
    <w:p w:rsidR="00095346" w:rsidRPr="00CC6ED0" w:rsidRDefault="00095346" w:rsidP="00D16880">
      <w:pPr>
        <w:pStyle w:val="Heading1"/>
        <w:numPr>
          <w:ilvl w:val="0"/>
          <w:numId w:val="4"/>
        </w:numPr>
        <w:rPr>
          <w:rFonts w:asciiTheme="minorHAnsi" w:hAnsiTheme="minorHAnsi" w:cstheme="minorHAnsi"/>
          <w:color w:val="000000" w:themeColor="text1"/>
          <w:sz w:val="22"/>
          <w:szCs w:val="22"/>
        </w:rPr>
      </w:pPr>
      <w:r w:rsidRPr="00CC6ED0">
        <w:rPr>
          <w:rFonts w:asciiTheme="minorHAnsi" w:hAnsiTheme="minorHAnsi" w:cstheme="minorHAnsi"/>
          <w:color w:val="000000" w:themeColor="text1"/>
          <w:sz w:val="22"/>
          <w:szCs w:val="22"/>
        </w:rPr>
        <w:t>CCQM NAWG P199.b: SARS-CoV-2 copy number quantification</w:t>
      </w:r>
    </w:p>
    <w:p w:rsidR="00095346" w:rsidRPr="00CC6ED0" w:rsidRDefault="00095346" w:rsidP="00274678">
      <w:pPr>
        <w:spacing w:after="120"/>
        <w:jc w:val="both"/>
        <w:rPr>
          <w:rFonts w:cstheme="minorHAnsi"/>
          <w:color w:val="000000" w:themeColor="text1"/>
        </w:rPr>
      </w:pPr>
      <w:r w:rsidRPr="00CC6ED0">
        <w:rPr>
          <w:rFonts w:cstheme="minorHAnsi"/>
          <w:color w:val="000000" w:themeColor="text1"/>
        </w:rPr>
        <w:t>CCQM NAWG P</w:t>
      </w:r>
      <w:r w:rsidR="00274678" w:rsidRPr="00CC6ED0">
        <w:rPr>
          <w:rFonts w:cstheme="minorHAnsi"/>
          <w:color w:val="000000" w:themeColor="text1"/>
        </w:rPr>
        <w:t xml:space="preserve">199b </w:t>
      </w:r>
      <w:r w:rsidRPr="00CC6ED0">
        <w:rPr>
          <w:rFonts w:cstheme="minorHAnsi"/>
          <w:color w:val="000000" w:themeColor="text1"/>
        </w:rPr>
        <w:t xml:space="preserve">will expand on capabilities demonstrated in the P199 study (HIV-1 RNA copy number quantification) for </w:t>
      </w:r>
      <w:r w:rsidRPr="00CC6ED0">
        <w:rPr>
          <w:rFonts w:cstheme="minorHAnsi"/>
          <w:b/>
          <w:color w:val="000000" w:themeColor="text1"/>
        </w:rPr>
        <w:t>targeted RNA copy number concentration</w:t>
      </w:r>
      <w:r w:rsidRPr="00CC6ED0">
        <w:rPr>
          <w:rFonts w:cstheme="minorHAnsi"/>
          <w:color w:val="000000" w:themeColor="text1"/>
        </w:rPr>
        <w:t xml:space="preserve"> and </w:t>
      </w:r>
      <w:r w:rsidRPr="00CC6ED0">
        <w:rPr>
          <w:rFonts w:cstheme="minorHAnsi"/>
          <w:b/>
          <w:color w:val="000000" w:themeColor="text1"/>
        </w:rPr>
        <w:t>viral gene quantification</w:t>
      </w:r>
      <w:r w:rsidR="00274678" w:rsidRPr="00CC6ED0">
        <w:rPr>
          <w:rFonts w:cstheme="minorHAnsi"/>
          <w:color w:val="000000" w:themeColor="text1"/>
        </w:rPr>
        <w:t xml:space="preserve">. This pilot </w:t>
      </w:r>
      <w:r w:rsidR="0093588E">
        <w:rPr>
          <w:rFonts w:cstheme="minorHAnsi"/>
          <w:color w:val="000000" w:themeColor="text1"/>
        </w:rPr>
        <w:t xml:space="preserve">was </w:t>
      </w:r>
      <w:r w:rsidR="00274678" w:rsidRPr="00CC6ED0">
        <w:rPr>
          <w:rFonts w:cstheme="minorHAnsi"/>
          <w:color w:val="000000" w:themeColor="text1"/>
        </w:rPr>
        <w:t>fast tracked in response to the COVID-19 pandemic will build NMI knowledge and capabilities for</w:t>
      </w:r>
      <w:r w:rsidRPr="00CC6ED0">
        <w:rPr>
          <w:rFonts w:cstheme="minorHAnsi"/>
          <w:color w:val="000000" w:themeColor="text1"/>
        </w:rPr>
        <w:t xml:space="preserve"> also establish</w:t>
      </w:r>
      <w:r w:rsidR="00274678" w:rsidRPr="00CC6ED0">
        <w:rPr>
          <w:rFonts w:cstheme="minorHAnsi"/>
          <w:color w:val="000000" w:themeColor="text1"/>
        </w:rPr>
        <w:t>ing</w:t>
      </w:r>
      <w:r w:rsidRPr="00CC6ED0">
        <w:rPr>
          <w:rFonts w:cstheme="minorHAnsi"/>
          <w:color w:val="000000" w:themeColor="text1"/>
        </w:rPr>
        <w:t xml:space="preserve"> candidate reference measurement procedures for detecting the </w:t>
      </w:r>
      <w:r w:rsidRPr="00CC6ED0">
        <w:rPr>
          <w:rFonts w:cstheme="minorHAnsi"/>
          <w:i/>
          <w:iCs/>
          <w:color w:val="000000" w:themeColor="text1"/>
        </w:rPr>
        <w:t xml:space="preserve">viral genome of the </w:t>
      </w:r>
      <w:r w:rsidRPr="00CC6ED0">
        <w:rPr>
          <w:rFonts w:cstheme="minorHAnsi"/>
          <w:i/>
          <w:color w:val="000000" w:themeColor="text1"/>
        </w:rPr>
        <w:t>causative agent of</w:t>
      </w:r>
      <w:r w:rsidRPr="00CC6ED0">
        <w:rPr>
          <w:rFonts w:cstheme="minorHAnsi"/>
          <w:color w:val="000000" w:themeColor="text1"/>
        </w:rPr>
        <w:t xml:space="preserve"> </w:t>
      </w:r>
      <w:r w:rsidRPr="00CC6ED0">
        <w:rPr>
          <w:rFonts w:cstheme="minorHAnsi"/>
          <w:i/>
          <w:iCs/>
          <w:color w:val="000000" w:themeColor="text1"/>
        </w:rPr>
        <w:t xml:space="preserve">the Covid-19 pandemic </w:t>
      </w:r>
      <w:r w:rsidRPr="00CC6ED0">
        <w:rPr>
          <w:rFonts w:cstheme="minorHAnsi"/>
          <w:i/>
          <w:iCs/>
          <w:color w:val="000000" w:themeColor="text1"/>
          <w:lang w:eastAsia="zh-CN"/>
        </w:rPr>
        <w:t xml:space="preserve">(2019-nCoV, termed as </w:t>
      </w:r>
      <w:r w:rsidRPr="00CC6ED0">
        <w:rPr>
          <w:rFonts w:cstheme="minorHAnsi"/>
          <w:i/>
          <w:iCs/>
          <w:color w:val="000000" w:themeColor="text1"/>
        </w:rPr>
        <w:t>SARS-CoV-2</w:t>
      </w:r>
      <w:r w:rsidRPr="00CC6ED0">
        <w:rPr>
          <w:rFonts w:cstheme="minorHAnsi"/>
          <w:i/>
          <w:iCs/>
          <w:color w:val="000000" w:themeColor="text1"/>
          <w:lang w:eastAsia="zh-CN"/>
        </w:rPr>
        <w:t xml:space="preserve">). </w:t>
      </w:r>
      <w:r w:rsidRPr="00CC6ED0">
        <w:rPr>
          <w:rFonts w:cstheme="minorHAnsi"/>
          <w:iCs/>
          <w:color w:val="000000" w:themeColor="text1"/>
          <w:lang w:eastAsia="zh-CN"/>
        </w:rPr>
        <w:t>This will</w:t>
      </w:r>
      <w:r w:rsidRPr="00CC6ED0">
        <w:rPr>
          <w:rFonts w:cstheme="minorHAnsi"/>
          <w:i/>
          <w:iCs/>
          <w:color w:val="000000" w:themeColor="text1"/>
          <w:lang w:eastAsia="zh-CN"/>
        </w:rPr>
        <w:t xml:space="preserve"> </w:t>
      </w:r>
      <w:r w:rsidRPr="00CC6ED0">
        <w:rPr>
          <w:rFonts w:cstheme="minorHAnsi"/>
          <w:color w:val="000000" w:themeColor="text1"/>
        </w:rPr>
        <w:t xml:space="preserve">expedite the ability of NMIs/DIs to demonstrate capability for reference measurement of SARS-CoV-2 Reference Materials (RMs), Quality Control (QC) materials and sources of whole viral genome </w:t>
      </w:r>
      <w:r w:rsidRPr="00CC6ED0">
        <w:rPr>
          <w:rFonts w:cstheme="minorHAnsi"/>
          <w:color w:val="000000" w:themeColor="text1"/>
        </w:rPr>
        <w:lastRenderedPageBreak/>
        <w:t xml:space="preserve">materials enabling them to support diagnostic manufacturers, clinical laboratory-developed tests and international test standardization efforts. </w:t>
      </w:r>
    </w:p>
    <w:p w:rsidR="00095346" w:rsidRPr="00CC6ED0" w:rsidRDefault="00095346" w:rsidP="00D16880">
      <w:pPr>
        <w:jc w:val="both"/>
        <w:rPr>
          <w:rFonts w:cstheme="minorHAnsi"/>
          <w:color w:val="000000" w:themeColor="text1"/>
        </w:rPr>
      </w:pPr>
    </w:p>
    <w:p w:rsidR="00D16880" w:rsidRPr="00CC6ED0" w:rsidRDefault="00274678" w:rsidP="00265012">
      <w:pPr>
        <w:pStyle w:val="ListParagraph"/>
        <w:numPr>
          <w:ilvl w:val="0"/>
          <w:numId w:val="3"/>
        </w:numPr>
        <w:spacing w:after="120"/>
        <w:rPr>
          <w:rFonts w:asciiTheme="minorHAnsi" w:hAnsiTheme="minorHAnsi" w:cstheme="minorHAnsi"/>
          <w:color w:val="000000" w:themeColor="text1"/>
          <w:sz w:val="22"/>
        </w:rPr>
      </w:pPr>
      <w:r w:rsidRPr="00CC6ED0">
        <w:rPr>
          <w:rFonts w:asciiTheme="minorHAnsi" w:hAnsiTheme="minorHAnsi" w:cstheme="minorHAnsi"/>
          <w:b/>
          <w:bCs/>
          <w:color w:val="000000" w:themeColor="text1"/>
          <w:sz w:val="22"/>
        </w:rPr>
        <w:t>Development of the NAWG for the 2020s</w:t>
      </w:r>
    </w:p>
    <w:p w:rsidR="00274678" w:rsidRPr="00CC6ED0" w:rsidRDefault="00274678" w:rsidP="00274678">
      <w:pPr>
        <w:rPr>
          <w:rFonts w:cstheme="minorHAnsi"/>
          <w:color w:val="000000" w:themeColor="text1"/>
        </w:rPr>
      </w:pPr>
      <w:r w:rsidRPr="00CC6ED0">
        <w:rPr>
          <w:rFonts w:cstheme="minorHAnsi"/>
          <w:bCs/>
          <w:color w:val="000000" w:themeColor="text1"/>
        </w:rPr>
        <w:t>Drs Cleveland</w:t>
      </w:r>
      <w:r w:rsidR="00C81764">
        <w:rPr>
          <w:rFonts w:cstheme="minorHAnsi"/>
          <w:bCs/>
          <w:color w:val="000000" w:themeColor="text1"/>
        </w:rPr>
        <w:t xml:space="preserve"> (NIST)</w:t>
      </w:r>
      <w:r w:rsidRPr="00CC6ED0">
        <w:rPr>
          <w:rFonts w:cstheme="minorHAnsi"/>
          <w:bCs/>
          <w:color w:val="000000" w:themeColor="text1"/>
        </w:rPr>
        <w:t xml:space="preserve">, Milavec </w:t>
      </w:r>
      <w:r w:rsidR="00C81764">
        <w:rPr>
          <w:rFonts w:cstheme="minorHAnsi"/>
          <w:bCs/>
          <w:color w:val="000000" w:themeColor="text1"/>
        </w:rPr>
        <w:t xml:space="preserve">(NIB) </w:t>
      </w:r>
      <w:r w:rsidRPr="00CC6ED0">
        <w:rPr>
          <w:rFonts w:cstheme="minorHAnsi"/>
          <w:bCs/>
          <w:color w:val="000000" w:themeColor="text1"/>
        </w:rPr>
        <w:t xml:space="preserve">and Bae </w:t>
      </w:r>
      <w:r w:rsidR="00C81764">
        <w:rPr>
          <w:rFonts w:cstheme="minorHAnsi"/>
          <w:bCs/>
          <w:color w:val="000000" w:themeColor="text1"/>
        </w:rPr>
        <w:t xml:space="preserve">(KRISS) </w:t>
      </w:r>
      <w:r w:rsidRPr="00CC6ED0">
        <w:rPr>
          <w:rFonts w:cstheme="minorHAnsi"/>
          <w:bCs/>
          <w:color w:val="000000" w:themeColor="text1"/>
        </w:rPr>
        <w:t xml:space="preserve">have </w:t>
      </w:r>
      <w:r w:rsidR="00C81764">
        <w:rPr>
          <w:rFonts w:cstheme="minorHAnsi"/>
          <w:bCs/>
          <w:color w:val="000000" w:themeColor="text1"/>
        </w:rPr>
        <w:t>been drafting</w:t>
      </w:r>
      <w:r w:rsidRPr="00CC6ED0">
        <w:rPr>
          <w:rFonts w:cstheme="minorHAnsi"/>
          <w:bCs/>
          <w:color w:val="000000" w:themeColor="text1"/>
        </w:rPr>
        <w:t xml:space="preserve"> </w:t>
      </w:r>
      <w:r w:rsidR="00C81764">
        <w:rPr>
          <w:rFonts w:cstheme="minorHAnsi"/>
          <w:bCs/>
          <w:color w:val="000000" w:themeColor="text1"/>
        </w:rPr>
        <w:t xml:space="preserve">an update to </w:t>
      </w:r>
      <w:r w:rsidRPr="00CC6ED0">
        <w:rPr>
          <w:rFonts w:cstheme="minorHAnsi"/>
          <w:bCs/>
          <w:color w:val="000000" w:themeColor="text1"/>
        </w:rPr>
        <w:t xml:space="preserve">the </w:t>
      </w:r>
      <w:r w:rsidRPr="00CC6ED0">
        <w:rPr>
          <w:rFonts w:cstheme="minorHAnsi"/>
          <w:color w:val="000000" w:themeColor="text1"/>
        </w:rPr>
        <w:t xml:space="preserve">NAWG Process Guidance Document. Most sections of the document </w:t>
      </w:r>
      <w:r w:rsidR="00C81764">
        <w:rPr>
          <w:rFonts w:cstheme="minorHAnsi"/>
          <w:color w:val="000000" w:themeColor="text1"/>
        </w:rPr>
        <w:t>are</w:t>
      </w:r>
      <w:r w:rsidRPr="00CC6ED0">
        <w:rPr>
          <w:rFonts w:cstheme="minorHAnsi"/>
          <w:color w:val="000000" w:themeColor="text1"/>
        </w:rPr>
        <w:t xml:space="preserve"> complete, but the following sections needed further work:</w:t>
      </w:r>
    </w:p>
    <w:p w:rsidR="00274678" w:rsidRPr="00CC6ED0" w:rsidRDefault="00274678" w:rsidP="00274678">
      <w:pPr>
        <w:pStyle w:val="ListParagraph"/>
        <w:numPr>
          <w:ilvl w:val="0"/>
          <w:numId w:val="6"/>
        </w:numPr>
        <w:spacing w:line="259" w:lineRule="auto"/>
        <w:rPr>
          <w:rFonts w:asciiTheme="minorHAnsi" w:hAnsiTheme="minorHAnsi" w:cstheme="minorHAnsi"/>
          <w:color w:val="000000" w:themeColor="text1"/>
          <w:sz w:val="22"/>
        </w:rPr>
      </w:pPr>
      <w:r w:rsidRPr="00CC6ED0">
        <w:rPr>
          <w:rFonts w:asciiTheme="minorHAnsi" w:hAnsiTheme="minorHAnsi" w:cstheme="minorHAnsi"/>
          <w:color w:val="000000" w:themeColor="text1"/>
          <w:sz w:val="22"/>
        </w:rPr>
        <w:t xml:space="preserve">Strategic approach for selecting NAWG comparisons </w:t>
      </w:r>
    </w:p>
    <w:p w:rsidR="00274678" w:rsidRPr="00CC6ED0" w:rsidRDefault="00274678" w:rsidP="00274678">
      <w:pPr>
        <w:pStyle w:val="ListParagraph"/>
        <w:numPr>
          <w:ilvl w:val="0"/>
          <w:numId w:val="6"/>
        </w:numPr>
        <w:spacing w:line="259" w:lineRule="auto"/>
        <w:rPr>
          <w:rFonts w:asciiTheme="minorHAnsi" w:hAnsiTheme="minorHAnsi" w:cstheme="minorHAnsi"/>
          <w:color w:val="000000" w:themeColor="text1"/>
          <w:sz w:val="22"/>
        </w:rPr>
      </w:pPr>
      <w:r w:rsidRPr="00CC6ED0">
        <w:rPr>
          <w:rFonts w:asciiTheme="minorHAnsi" w:hAnsiTheme="minorHAnsi" w:cstheme="minorHAnsi"/>
          <w:color w:val="000000" w:themeColor="text1"/>
          <w:sz w:val="22"/>
        </w:rPr>
        <w:t>Preparing proposals for NAWG comparisons</w:t>
      </w:r>
    </w:p>
    <w:p w:rsidR="00DC08BC" w:rsidRPr="00CC6ED0" w:rsidRDefault="00DC08BC" w:rsidP="00DC08BC">
      <w:pPr>
        <w:jc w:val="both"/>
        <w:rPr>
          <w:rFonts w:cstheme="minorHAnsi"/>
          <w:bCs/>
          <w:color w:val="000000" w:themeColor="text1"/>
        </w:rPr>
      </w:pPr>
      <w:r w:rsidRPr="00CC6ED0">
        <w:rPr>
          <w:rFonts w:cstheme="minorHAnsi"/>
          <w:bCs/>
          <w:color w:val="000000" w:themeColor="text1"/>
        </w:rPr>
        <w:t xml:space="preserve">Drs Huggett and </w:t>
      </w:r>
      <w:proofErr w:type="spellStart"/>
      <w:r w:rsidRPr="00CC6ED0">
        <w:rPr>
          <w:rFonts w:cstheme="minorHAnsi"/>
          <w:bCs/>
          <w:color w:val="000000" w:themeColor="text1"/>
        </w:rPr>
        <w:t>Vonsky</w:t>
      </w:r>
      <w:proofErr w:type="spellEnd"/>
      <w:r w:rsidRPr="00CC6ED0">
        <w:rPr>
          <w:rFonts w:cstheme="minorHAnsi"/>
          <w:bCs/>
          <w:color w:val="000000" w:themeColor="text1"/>
        </w:rPr>
        <w:t xml:space="preserve"> prepared a ‘</w:t>
      </w:r>
      <w:r w:rsidRPr="00CC6ED0">
        <w:rPr>
          <w:rFonts w:cstheme="minorHAnsi"/>
          <w:color w:val="000000" w:themeColor="text1"/>
          <w:lang w:val="en"/>
        </w:rPr>
        <w:t xml:space="preserve">NAWG member questionnaire 2020: Information gathering to support NAWG comparison study prioritization and design’ survey to </w:t>
      </w:r>
      <w:r w:rsidR="004C449D" w:rsidRPr="00CC6ED0">
        <w:rPr>
          <w:rFonts w:cstheme="minorHAnsi"/>
          <w:color w:val="000000" w:themeColor="text1"/>
          <w:lang w:val="en"/>
        </w:rPr>
        <w:t>priorities</w:t>
      </w:r>
      <w:r w:rsidRPr="00CC6ED0">
        <w:rPr>
          <w:rFonts w:cstheme="minorHAnsi"/>
          <w:color w:val="000000" w:themeColor="text1"/>
          <w:lang w:val="en"/>
        </w:rPr>
        <w:t xml:space="preserve"> future activities. This was due to be distributed prior to and presented at the April 2020 meeting. This has been delayed and due to COVID-19 and will be presented in October 2020.</w:t>
      </w:r>
    </w:p>
    <w:p w:rsidR="00DC08BC" w:rsidRPr="00DC08BC" w:rsidRDefault="00DC08BC" w:rsidP="00D16880">
      <w:pPr>
        <w:jc w:val="both"/>
        <w:rPr>
          <w:rFonts w:cstheme="minorHAnsi"/>
          <w:bCs/>
          <w:sz w:val="24"/>
          <w:szCs w:val="24"/>
        </w:rPr>
      </w:pPr>
    </w:p>
    <w:p w:rsidR="00D16880" w:rsidRPr="00D16880" w:rsidRDefault="00D16880" w:rsidP="00D16880">
      <w:pPr>
        <w:jc w:val="both"/>
        <w:rPr>
          <w:rFonts w:cstheme="minorHAnsi"/>
          <w:b/>
          <w:bCs/>
          <w:sz w:val="24"/>
          <w:szCs w:val="24"/>
        </w:rPr>
      </w:pPr>
      <w:r>
        <w:rPr>
          <w:rFonts w:cstheme="minorHAnsi"/>
          <w:b/>
          <w:bCs/>
          <w:sz w:val="24"/>
          <w:szCs w:val="24"/>
        </w:rPr>
        <w:t>Jim Huggett</w:t>
      </w:r>
      <w:r w:rsidRPr="00D16880">
        <w:rPr>
          <w:rFonts w:cstheme="minorHAnsi"/>
          <w:b/>
          <w:bCs/>
          <w:sz w:val="24"/>
          <w:szCs w:val="24"/>
        </w:rPr>
        <w:t xml:space="preserve"> </w:t>
      </w:r>
      <w:r w:rsidR="00CC6ED0">
        <w:rPr>
          <w:rFonts w:cstheme="minorHAnsi"/>
          <w:b/>
          <w:bCs/>
          <w:sz w:val="24"/>
          <w:szCs w:val="24"/>
        </w:rPr>
        <w:t xml:space="preserve">and Maxim </w:t>
      </w:r>
      <w:proofErr w:type="spellStart"/>
      <w:r w:rsidR="00CC6ED0">
        <w:rPr>
          <w:rFonts w:cstheme="minorHAnsi"/>
          <w:b/>
          <w:bCs/>
          <w:sz w:val="24"/>
          <w:szCs w:val="24"/>
        </w:rPr>
        <w:t>Vonsky</w:t>
      </w:r>
      <w:proofErr w:type="spellEnd"/>
      <w:r w:rsidR="00CC6ED0">
        <w:rPr>
          <w:rFonts w:cstheme="minorHAnsi"/>
          <w:b/>
          <w:bCs/>
          <w:sz w:val="24"/>
          <w:szCs w:val="24"/>
        </w:rPr>
        <w:t xml:space="preserve"> </w:t>
      </w:r>
      <w:r w:rsidRPr="00D16880">
        <w:rPr>
          <w:rFonts w:cstheme="minorHAnsi"/>
          <w:b/>
          <w:bCs/>
          <w:sz w:val="24"/>
          <w:szCs w:val="24"/>
        </w:rPr>
        <w:t>-05-2020</w:t>
      </w:r>
    </w:p>
    <w:p w:rsidR="00D16880" w:rsidRPr="00D16880" w:rsidRDefault="00D16880" w:rsidP="00D16880">
      <w:pPr>
        <w:jc w:val="both"/>
        <w:rPr>
          <w:rFonts w:cstheme="minorHAnsi"/>
          <w:sz w:val="24"/>
          <w:szCs w:val="24"/>
        </w:rPr>
      </w:pPr>
    </w:p>
    <w:sectPr w:rsidR="00D16880" w:rsidRPr="00D168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36CB"/>
    <w:multiLevelType w:val="hybridMultilevel"/>
    <w:tmpl w:val="85C44452"/>
    <w:lvl w:ilvl="0" w:tplc="5A8E57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2530D"/>
    <w:multiLevelType w:val="hybridMultilevel"/>
    <w:tmpl w:val="A5BEEBE8"/>
    <w:lvl w:ilvl="0" w:tplc="6DAE0AF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67048"/>
    <w:multiLevelType w:val="hybridMultilevel"/>
    <w:tmpl w:val="7CA2D9B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97A44B1"/>
    <w:multiLevelType w:val="hybridMultilevel"/>
    <w:tmpl w:val="530C4280"/>
    <w:lvl w:ilvl="0" w:tplc="D68C50D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751A79"/>
    <w:multiLevelType w:val="hybridMultilevel"/>
    <w:tmpl w:val="BA4A40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D16478"/>
    <w:multiLevelType w:val="multilevel"/>
    <w:tmpl w:val="8CD65D28"/>
    <w:lvl w:ilvl="0">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2B6"/>
    <w:rsid w:val="00095346"/>
    <w:rsid w:val="001205AC"/>
    <w:rsid w:val="00123ECE"/>
    <w:rsid w:val="00155C99"/>
    <w:rsid w:val="00256B7E"/>
    <w:rsid w:val="00274678"/>
    <w:rsid w:val="002F3EF0"/>
    <w:rsid w:val="00375F90"/>
    <w:rsid w:val="004C449D"/>
    <w:rsid w:val="005E4D5D"/>
    <w:rsid w:val="005E7F02"/>
    <w:rsid w:val="005F3CCA"/>
    <w:rsid w:val="006323DE"/>
    <w:rsid w:val="0076580D"/>
    <w:rsid w:val="00796E74"/>
    <w:rsid w:val="00812192"/>
    <w:rsid w:val="008620B3"/>
    <w:rsid w:val="008E563C"/>
    <w:rsid w:val="0093588E"/>
    <w:rsid w:val="009572BF"/>
    <w:rsid w:val="00A1402B"/>
    <w:rsid w:val="00A44A01"/>
    <w:rsid w:val="00A91CD0"/>
    <w:rsid w:val="00AD4BF0"/>
    <w:rsid w:val="00B30704"/>
    <w:rsid w:val="00BC35BE"/>
    <w:rsid w:val="00C13C72"/>
    <w:rsid w:val="00C741F2"/>
    <w:rsid w:val="00C81764"/>
    <w:rsid w:val="00CC6ED0"/>
    <w:rsid w:val="00D16880"/>
    <w:rsid w:val="00D47F24"/>
    <w:rsid w:val="00DC08BC"/>
    <w:rsid w:val="00E132B6"/>
    <w:rsid w:val="00EF6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61201"/>
  <w15:chartTrackingRefBased/>
  <w15:docId w15:val="{56F2A0A1-71B4-446A-857C-FD7B8DCE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5F90"/>
    <w:pPr>
      <w:keepNext/>
      <w:keepLines/>
      <w:spacing w:before="320" w:after="40" w:line="360" w:lineRule="auto"/>
      <w:jc w:val="both"/>
      <w:outlineLvl w:val="0"/>
    </w:pPr>
    <w:rPr>
      <w:rFonts w:ascii="Times New Roman" w:eastAsiaTheme="majorEastAsia" w:hAnsi="Times New Roman" w:cstheme="majorBidi"/>
      <w:b/>
      <w:bCs/>
      <w:spacing w:val="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F90"/>
    <w:rPr>
      <w:rFonts w:ascii="Times New Roman" w:eastAsiaTheme="majorEastAsia" w:hAnsi="Times New Roman" w:cstheme="majorBidi"/>
      <w:b/>
      <w:bCs/>
      <w:spacing w:val="4"/>
      <w:sz w:val="28"/>
      <w:szCs w:val="28"/>
    </w:rPr>
  </w:style>
  <w:style w:type="paragraph" w:styleId="ListParagraph">
    <w:name w:val="List Paragraph"/>
    <w:basedOn w:val="Normal"/>
    <w:uiPriority w:val="34"/>
    <w:qFormat/>
    <w:rsid w:val="00375F90"/>
    <w:pPr>
      <w:spacing w:line="360" w:lineRule="auto"/>
      <w:ind w:left="720"/>
      <w:contextualSpacing/>
      <w:jc w:val="both"/>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89138">
      <w:bodyDiv w:val="1"/>
      <w:marLeft w:val="0"/>
      <w:marRight w:val="0"/>
      <w:marTop w:val="0"/>
      <w:marBottom w:val="0"/>
      <w:divBdr>
        <w:top w:val="none" w:sz="0" w:space="0" w:color="auto"/>
        <w:left w:val="none" w:sz="0" w:space="0" w:color="auto"/>
        <w:bottom w:val="none" w:sz="0" w:space="0" w:color="auto"/>
        <w:right w:val="none" w:sz="0" w:space="0" w:color="auto"/>
      </w:divBdr>
    </w:div>
    <w:div w:id="209265362">
      <w:bodyDiv w:val="1"/>
      <w:marLeft w:val="0"/>
      <w:marRight w:val="0"/>
      <w:marTop w:val="0"/>
      <w:marBottom w:val="0"/>
      <w:divBdr>
        <w:top w:val="none" w:sz="0" w:space="0" w:color="auto"/>
        <w:left w:val="none" w:sz="0" w:space="0" w:color="auto"/>
        <w:bottom w:val="none" w:sz="0" w:space="0" w:color="auto"/>
        <w:right w:val="none" w:sz="0" w:space="0" w:color="auto"/>
      </w:divBdr>
    </w:div>
    <w:div w:id="526456382">
      <w:bodyDiv w:val="1"/>
      <w:marLeft w:val="0"/>
      <w:marRight w:val="0"/>
      <w:marTop w:val="0"/>
      <w:marBottom w:val="0"/>
      <w:divBdr>
        <w:top w:val="none" w:sz="0" w:space="0" w:color="auto"/>
        <w:left w:val="none" w:sz="0" w:space="0" w:color="auto"/>
        <w:bottom w:val="none" w:sz="0" w:space="0" w:color="auto"/>
        <w:right w:val="none" w:sz="0" w:space="0" w:color="auto"/>
      </w:divBdr>
    </w:div>
    <w:div w:id="1813600801">
      <w:bodyDiv w:val="1"/>
      <w:marLeft w:val="0"/>
      <w:marRight w:val="0"/>
      <w:marTop w:val="0"/>
      <w:marBottom w:val="0"/>
      <w:divBdr>
        <w:top w:val="none" w:sz="0" w:space="0" w:color="auto"/>
        <w:left w:val="none" w:sz="0" w:space="0" w:color="auto"/>
        <w:bottom w:val="none" w:sz="0" w:space="0" w:color="auto"/>
        <w:right w:val="none" w:sz="0" w:space="0" w:color="auto"/>
      </w:divBdr>
      <w:divsChild>
        <w:div w:id="94636529">
          <w:marLeft w:val="0"/>
          <w:marRight w:val="0"/>
          <w:marTop w:val="0"/>
          <w:marBottom w:val="0"/>
          <w:divBdr>
            <w:top w:val="none" w:sz="0" w:space="0" w:color="auto"/>
            <w:left w:val="none" w:sz="0" w:space="0" w:color="auto"/>
            <w:bottom w:val="none" w:sz="0" w:space="0" w:color="auto"/>
            <w:right w:val="none" w:sz="0" w:space="0" w:color="auto"/>
          </w:divBdr>
          <w:divsChild>
            <w:div w:id="1480807947">
              <w:marLeft w:val="0"/>
              <w:marRight w:val="0"/>
              <w:marTop w:val="0"/>
              <w:marBottom w:val="0"/>
              <w:divBdr>
                <w:top w:val="none" w:sz="0" w:space="0" w:color="auto"/>
                <w:left w:val="none" w:sz="0" w:space="0" w:color="auto"/>
                <w:bottom w:val="none" w:sz="0" w:space="0" w:color="auto"/>
                <w:right w:val="none" w:sz="0" w:space="0" w:color="auto"/>
              </w:divBdr>
              <w:divsChild>
                <w:div w:id="188688736">
                  <w:marLeft w:val="0"/>
                  <w:marRight w:val="0"/>
                  <w:marTop w:val="0"/>
                  <w:marBottom w:val="0"/>
                  <w:divBdr>
                    <w:top w:val="none" w:sz="0" w:space="0" w:color="auto"/>
                    <w:left w:val="none" w:sz="0" w:space="0" w:color="auto"/>
                    <w:bottom w:val="none" w:sz="0" w:space="0" w:color="auto"/>
                    <w:right w:val="none" w:sz="0" w:space="0" w:color="auto"/>
                  </w:divBdr>
                  <w:divsChild>
                    <w:div w:id="1230111461">
                      <w:marLeft w:val="0"/>
                      <w:marRight w:val="0"/>
                      <w:marTop w:val="0"/>
                      <w:marBottom w:val="0"/>
                      <w:divBdr>
                        <w:top w:val="none" w:sz="0" w:space="0" w:color="auto"/>
                        <w:left w:val="none" w:sz="0" w:space="0" w:color="auto"/>
                        <w:bottom w:val="none" w:sz="0" w:space="0" w:color="auto"/>
                        <w:right w:val="none" w:sz="0" w:space="0" w:color="auto"/>
                      </w:divBdr>
                      <w:divsChild>
                        <w:div w:id="7894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orp\DivData\Science%20&amp;%20Technology\UK\Teddington\Programmes\CBM-2\Projects\CCQM%20P199\Participant%20results\P199%20Participant%20results%20v2.1_080720_for%20CCQM_J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6179785082814133"/>
          <c:y val="6.8169419352969857E-2"/>
          <c:w val="0.80891562607410616"/>
          <c:h val="0.80084699101166945"/>
        </c:manualLayout>
      </c:layout>
      <c:lineChart>
        <c:grouping val="standard"/>
        <c:varyColors val="0"/>
        <c:ser>
          <c:idx val="0"/>
          <c:order val="0"/>
          <c:spPr>
            <a:ln w="28575">
              <a:noFill/>
            </a:ln>
          </c:spPr>
          <c:marker>
            <c:symbol val="diamond"/>
            <c:size val="9"/>
            <c:spPr>
              <a:solidFill>
                <a:schemeClr val="tx1"/>
              </a:solidFill>
              <a:ln>
                <a:solidFill>
                  <a:schemeClr val="tx1"/>
                </a:solidFill>
              </a:ln>
            </c:spPr>
          </c:marker>
          <c:dPt>
            <c:idx val="13"/>
            <c:marker>
              <c:symbol val="square"/>
              <c:size val="9"/>
              <c:spPr>
                <a:solidFill>
                  <a:schemeClr val="accent2"/>
                </a:solidFill>
                <a:ln>
                  <a:solidFill>
                    <a:schemeClr val="tx1"/>
                  </a:solidFill>
                </a:ln>
              </c:spPr>
            </c:marker>
            <c:bubble3D val="0"/>
            <c:extLst>
              <c:ext xmlns:c16="http://schemas.microsoft.com/office/drawing/2014/chart" uri="{C3380CC4-5D6E-409C-BE32-E72D297353CC}">
                <c16:uniqueId val="{00000000-1ADB-449F-903A-A60F040C8B5B}"/>
              </c:ext>
            </c:extLst>
          </c:dPt>
          <c:dPt>
            <c:idx val="15"/>
            <c:marker>
              <c:symbol val="square"/>
              <c:size val="9"/>
              <c:spPr>
                <a:solidFill>
                  <a:schemeClr val="accent2"/>
                </a:solidFill>
                <a:ln>
                  <a:solidFill>
                    <a:schemeClr val="tx1"/>
                  </a:solidFill>
                </a:ln>
              </c:spPr>
            </c:marker>
            <c:bubble3D val="0"/>
            <c:extLst>
              <c:ext xmlns:c16="http://schemas.microsoft.com/office/drawing/2014/chart" uri="{C3380CC4-5D6E-409C-BE32-E72D297353CC}">
                <c16:uniqueId val="{00000001-1ADB-449F-903A-A60F040C8B5B}"/>
              </c:ext>
            </c:extLst>
          </c:dPt>
          <c:dPt>
            <c:idx val="17"/>
            <c:marker>
              <c:symbol val="square"/>
              <c:size val="9"/>
              <c:spPr>
                <a:solidFill>
                  <a:schemeClr val="accent2"/>
                </a:solidFill>
                <a:ln>
                  <a:solidFill>
                    <a:schemeClr val="tx1"/>
                  </a:solidFill>
                </a:ln>
              </c:spPr>
            </c:marker>
            <c:bubble3D val="0"/>
            <c:extLst>
              <c:ext xmlns:c16="http://schemas.microsoft.com/office/drawing/2014/chart" uri="{C3380CC4-5D6E-409C-BE32-E72D297353CC}">
                <c16:uniqueId val="{00000002-1ADB-449F-903A-A60F040C8B5B}"/>
              </c:ext>
            </c:extLst>
          </c:dPt>
          <c:dPt>
            <c:idx val="19"/>
            <c:marker>
              <c:symbol val="square"/>
              <c:size val="9"/>
              <c:spPr>
                <a:solidFill>
                  <a:schemeClr val="accent2"/>
                </a:solidFill>
                <a:ln>
                  <a:solidFill>
                    <a:schemeClr val="tx1"/>
                  </a:solidFill>
                </a:ln>
              </c:spPr>
            </c:marker>
            <c:bubble3D val="0"/>
            <c:extLst>
              <c:ext xmlns:c16="http://schemas.microsoft.com/office/drawing/2014/chart" uri="{C3380CC4-5D6E-409C-BE32-E72D297353CC}">
                <c16:uniqueId val="{00000003-1ADB-449F-903A-A60F040C8B5B}"/>
              </c:ext>
            </c:extLst>
          </c:dPt>
          <c:errBars>
            <c:errDir val="y"/>
            <c:errBarType val="both"/>
            <c:errValType val="cust"/>
            <c:noEndCap val="0"/>
            <c:plus>
              <c:numRef>
                <c:f>'Material 1+2'!$M$2:$M$23</c:f>
                <c:numCache>
                  <c:formatCode>General</c:formatCode>
                  <c:ptCount val="22"/>
                  <c:pt idx="0">
                    <c:v>65</c:v>
                  </c:pt>
                  <c:pt idx="1">
                    <c:v>159.4</c:v>
                  </c:pt>
                  <c:pt idx="2">
                    <c:v>64.89</c:v>
                  </c:pt>
                  <c:pt idx="3">
                    <c:v>192.7</c:v>
                  </c:pt>
                  <c:pt idx="4">
                    <c:v>56</c:v>
                  </c:pt>
                  <c:pt idx="5">
                    <c:v>129</c:v>
                  </c:pt>
                  <c:pt idx="6">
                    <c:v>100</c:v>
                  </c:pt>
                  <c:pt idx="7">
                    <c:v>124</c:v>
                  </c:pt>
                  <c:pt idx="8">
                    <c:v>52.2</c:v>
                  </c:pt>
                  <c:pt idx="9">
                    <c:v>73</c:v>
                  </c:pt>
                  <c:pt idx="10">
                    <c:v>100</c:v>
                  </c:pt>
                  <c:pt idx="11">
                    <c:v>124</c:v>
                  </c:pt>
                  <c:pt idx="12">
                    <c:v>210</c:v>
                  </c:pt>
                  <c:pt idx="13">
                    <c:v>53.021346495049528</c:v>
                  </c:pt>
                  <c:pt idx="14">
                    <c:v>102</c:v>
                  </c:pt>
                  <c:pt idx="15">
                    <c:v>114.07792882195844</c:v>
                  </c:pt>
                  <c:pt idx="16">
                    <c:v>240</c:v>
                  </c:pt>
                  <c:pt idx="17">
                    <c:v>187.83643722061458</c:v>
                  </c:pt>
                  <c:pt idx="18">
                    <c:v>236</c:v>
                  </c:pt>
                  <c:pt idx="19">
                    <c:v>115.54719932873891</c:v>
                  </c:pt>
                  <c:pt idx="20">
                    <c:v>325</c:v>
                  </c:pt>
                  <c:pt idx="21">
                    <c:v>349</c:v>
                  </c:pt>
                </c:numCache>
              </c:numRef>
            </c:plus>
            <c:minus>
              <c:numRef>
                <c:f>'Material 1+2'!$M$2:$M$23</c:f>
                <c:numCache>
                  <c:formatCode>General</c:formatCode>
                  <c:ptCount val="22"/>
                  <c:pt idx="0">
                    <c:v>65</c:v>
                  </c:pt>
                  <c:pt idx="1">
                    <c:v>159.4</c:v>
                  </c:pt>
                  <c:pt idx="2">
                    <c:v>64.89</c:v>
                  </c:pt>
                  <c:pt idx="3">
                    <c:v>192.7</c:v>
                  </c:pt>
                  <c:pt idx="4">
                    <c:v>56</c:v>
                  </c:pt>
                  <c:pt idx="5">
                    <c:v>129</c:v>
                  </c:pt>
                  <c:pt idx="6">
                    <c:v>100</c:v>
                  </c:pt>
                  <c:pt idx="7">
                    <c:v>124</c:v>
                  </c:pt>
                  <c:pt idx="8">
                    <c:v>52.2</c:v>
                  </c:pt>
                  <c:pt idx="9">
                    <c:v>73</c:v>
                  </c:pt>
                  <c:pt idx="10">
                    <c:v>100</c:v>
                  </c:pt>
                  <c:pt idx="11">
                    <c:v>124</c:v>
                  </c:pt>
                  <c:pt idx="12">
                    <c:v>210</c:v>
                  </c:pt>
                  <c:pt idx="13">
                    <c:v>53.021346495049528</c:v>
                  </c:pt>
                  <c:pt idx="14">
                    <c:v>102</c:v>
                  </c:pt>
                  <c:pt idx="15">
                    <c:v>114.07792882195844</c:v>
                  </c:pt>
                  <c:pt idx="16">
                    <c:v>240</c:v>
                  </c:pt>
                  <c:pt idx="17">
                    <c:v>187.83643722061458</c:v>
                  </c:pt>
                  <c:pt idx="18">
                    <c:v>236</c:v>
                  </c:pt>
                  <c:pt idx="19">
                    <c:v>115.54719932873891</c:v>
                  </c:pt>
                  <c:pt idx="20">
                    <c:v>325</c:v>
                  </c:pt>
                  <c:pt idx="21">
                    <c:v>349</c:v>
                  </c:pt>
                </c:numCache>
              </c:numRef>
            </c:minus>
          </c:errBars>
          <c:cat>
            <c:numRef>
              <c:f>'Material 1+2'!$A$2:$A$23</c:f>
              <c:numCache>
                <c:formatCode>General</c:formatCode>
                <c:ptCount val="22"/>
                <c:pt idx="0">
                  <c:v>1</c:v>
                </c:pt>
                <c:pt idx="1">
                  <c:v>11</c:v>
                </c:pt>
                <c:pt idx="2">
                  <c:v>5</c:v>
                </c:pt>
                <c:pt idx="3">
                  <c:v>11</c:v>
                </c:pt>
                <c:pt idx="4">
                  <c:v>13</c:v>
                </c:pt>
                <c:pt idx="5">
                  <c:v>7</c:v>
                </c:pt>
                <c:pt idx="6">
                  <c:v>3</c:v>
                </c:pt>
                <c:pt idx="7">
                  <c:v>2</c:v>
                </c:pt>
                <c:pt idx="8">
                  <c:v>10</c:v>
                </c:pt>
                <c:pt idx="9">
                  <c:v>8</c:v>
                </c:pt>
                <c:pt idx="10">
                  <c:v>9</c:v>
                </c:pt>
                <c:pt idx="11">
                  <c:v>6</c:v>
                </c:pt>
                <c:pt idx="12">
                  <c:v>4</c:v>
                </c:pt>
                <c:pt idx="13">
                  <c:v>3</c:v>
                </c:pt>
                <c:pt idx="14">
                  <c:v>13</c:v>
                </c:pt>
                <c:pt idx="15">
                  <c:v>11</c:v>
                </c:pt>
                <c:pt idx="16">
                  <c:v>3</c:v>
                </c:pt>
                <c:pt idx="17">
                  <c:v>9</c:v>
                </c:pt>
                <c:pt idx="18">
                  <c:v>6</c:v>
                </c:pt>
                <c:pt idx="19">
                  <c:v>10</c:v>
                </c:pt>
                <c:pt idx="20">
                  <c:v>12</c:v>
                </c:pt>
                <c:pt idx="21">
                  <c:v>12</c:v>
                </c:pt>
              </c:numCache>
            </c:numRef>
          </c:cat>
          <c:val>
            <c:numRef>
              <c:f>'Material 1+2'!$J$2:$J$21</c:f>
              <c:numCache>
                <c:formatCode>General</c:formatCode>
                <c:ptCount val="20"/>
                <c:pt idx="0">
                  <c:v>498</c:v>
                </c:pt>
                <c:pt idx="1">
                  <c:v>596.29999999999995</c:v>
                </c:pt>
                <c:pt idx="2">
                  <c:v>656.04</c:v>
                </c:pt>
                <c:pt idx="3">
                  <c:v>664.7</c:v>
                </c:pt>
                <c:pt idx="4">
                  <c:v>669</c:v>
                </c:pt>
                <c:pt idx="5">
                  <c:v>757.33</c:v>
                </c:pt>
                <c:pt idx="6" formatCode="0">
                  <c:v>760</c:v>
                </c:pt>
                <c:pt idx="7">
                  <c:v>788</c:v>
                </c:pt>
                <c:pt idx="8">
                  <c:v>818.9</c:v>
                </c:pt>
                <c:pt idx="9">
                  <c:v>837</c:v>
                </c:pt>
                <c:pt idx="10">
                  <c:v>840</c:v>
                </c:pt>
                <c:pt idx="11">
                  <c:v>944</c:v>
                </c:pt>
                <c:pt idx="12">
                  <c:v>980</c:v>
                </c:pt>
                <c:pt idx="13" formatCode="0">
                  <c:v>1001.9551474066593</c:v>
                </c:pt>
                <c:pt idx="14">
                  <c:v>1061</c:v>
                </c:pt>
                <c:pt idx="15" formatCode="0">
                  <c:v>1094.5630406426922</c:v>
                </c:pt>
                <c:pt idx="16" formatCode="0">
                  <c:v>1100</c:v>
                </c:pt>
                <c:pt idx="17" formatCode="0">
                  <c:v>1167.3263853281467</c:v>
                </c:pt>
                <c:pt idx="18" formatCode="0">
                  <c:v>1311</c:v>
                </c:pt>
                <c:pt idx="19" formatCode="0">
                  <c:v>1453.3213497335428</c:v>
                </c:pt>
              </c:numCache>
            </c:numRef>
          </c:val>
          <c:smooth val="0"/>
          <c:extLst>
            <c:ext xmlns:c16="http://schemas.microsoft.com/office/drawing/2014/chart" uri="{C3380CC4-5D6E-409C-BE32-E72D297353CC}">
              <c16:uniqueId val="{00000004-1ADB-449F-903A-A60F040C8B5B}"/>
            </c:ext>
          </c:extLst>
        </c:ser>
        <c:ser>
          <c:idx val="3"/>
          <c:order val="1"/>
          <c:spPr>
            <a:ln w="15875">
              <a:solidFill>
                <a:schemeClr val="bg1">
                  <a:lumMod val="50000"/>
                </a:schemeClr>
              </a:solidFill>
              <a:prstDash val="dash"/>
            </a:ln>
          </c:spPr>
          <c:marker>
            <c:symbol val="none"/>
          </c:marker>
          <c:cat>
            <c:numRef>
              <c:f>'Material 1+2'!$A$2:$A$23</c:f>
              <c:numCache>
                <c:formatCode>General</c:formatCode>
                <c:ptCount val="22"/>
                <c:pt idx="0">
                  <c:v>1</c:v>
                </c:pt>
                <c:pt idx="1">
                  <c:v>11</c:v>
                </c:pt>
                <c:pt idx="2">
                  <c:v>5</c:v>
                </c:pt>
                <c:pt idx="3">
                  <c:v>11</c:v>
                </c:pt>
                <c:pt idx="4">
                  <c:v>13</c:v>
                </c:pt>
                <c:pt idx="5">
                  <c:v>7</c:v>
                </c:pt>
                <c:pt idx="6">
                  <c:v>3</c:v>
                </c:pt>
                <c:pt idx="7">
                  <c:v>2</c:v>
                </c:pt>
                <c:pt idx="8">
                  <c:v>10</c:v>
                </c:pt>
                <c:pt idx="9">
                  <c:v>8</c:v>
                </c:pt>
                <c:pt idx="10">
                  <c:v>9</c:v>
                </c:pt>
                <c:pt idx="11">
                  <c:v>6</c:v>
                </c:pt>
                <c:pt idx="12">
                  <c:v>4</c:v>
                </c:pt>
                <c:pt idx="13">
                  <c:v>3</c:v>
                </c:pt>
                <c:pt idx="14">
                  <c:v>13</c:v>
                </c:pt>
                <c:pt idx="15">
                  <c:v>11</c:v>
                </c:pt>
                <c:pt idx="16">
                  <c:v>3</c:v>
                </c:pt>
                <c:pt idx="17">
                  <c:v>9</c:v>
                </c:pt>
                <c:pt idx="18">
                  <c:v>6</c:v>
                </c:pt>
                <c:pt idx="19">
                  <c:v>10</c:v>
                </c:pt>
                <c:pt idx="20">
                  <c:v>12</c:v>
                </c:pt>
                <c:pt idx="21">
                  <c:v>12</c:v>
                </c:pt>
              </c:numCache>
            </c:numRef>
          </c:cat>
          <c:val>
            <c:numRef>
              <c:f>'Material 1+2'!$Q$2:$Q$21</c:f>
              <c:numCache>
                <c:formatCode>General</c:formatCode>
                <c:ptCount val="20"/>
                <c:pt idx="0">
                  <c:v>827.95</c:v>
                </c:pt>
                <c:pt idx="1">
                  <c:v>827.95</c:v>
                </c:pt>
                <c:pt idx="2">
                  <c:v>827.95</c:v>
                </c:pt>
                <c:pt idx="3">
                  <c:v>827.95</c:v>
                </c:pt>
                <c:pt idx="4">
                  <c:v>827.95</c:v>
                </c:pt>
                <c:pt idx="5">
                  <c:v>827.95</c:v>
                </c:pt>
                <c:pt idx="6">
                  <c:v>827.95</c:v>
                </c:pt>
                <c:pt idx="7">
                  <c:v>827.95</c:v>
                </c:pt>
                <c:pt idx="8">
                  <c:v>827.95</c:v>
                </c:pt>
                <c:pt idx="9">
                  <c:v>827.95</c:v>
                </c:pt>
                <c:pt idx="10">
                  <c:v>827.95</c:v>
                </c:pt>
                <c:pt idx="11">
                  <c:v>827.95</c:v>
                </c:pt>
                <c:pt idx="12">
                  <c:v>827.95</c:v>
                </c:pt>
                <c:pt idx="13">
                  <c:v>827.95</c:v>
                </c:pt>
                <c:pt idx="14">
                  <c:v>827.95</c:v>
                </c:pt>
                <c:pt idx="15">
                  <c:v>827.95</c:v>
                </c:pt>
                <c:pt idx="16">
                  <c:v>827.95</c:v>
                </c:pt>
                <c:pt idx="17">
                  <c:v>827.95</c:v>
                </c:pt>
                <c:pt idx="18">
                  <c:v>827.95</c:v>
                </c:pt>
                <c:pt idx="19">
                  <c:v>827.95</c:v>
                </c:pt>
              </c:numCache>
            </c:numRef>
          </c:val>
          <c:smooth val="0"/>
          <c:extLst>
            <c:ext xmlns:c16="http://schemas.microsoft.com/office/drawing/2014/chart" uri="{C3380CC4-5D6E-409C-BE32-E72D297353CC}">
              <c16:uniqueId val="{00000005-1ADB-449F-903A-A60F040C8B5B}"/>
            </c:ext>
          </c:extLst>
        </c:ser>
        <c:ser>
          <c:idx val="1"/>
          <c:order val="2"/>
          <c:spPr>
            <a:ln w="22225">
              <a:solidFill>
                <a:schemeClr val="accent2"/>
              </a:solidFill>
              <a:prstDash val="sysDash"/>
            </a:ln>
          </c:spPr>
          <c:marker>
            <c:symbol val="none"/>
          </c:marker>
          <c:cat>
            <c:numRef>
              <c:f>'Material 1+2'!$A$2:$A$23</c:f>
              <c:numCache>
                <c:formatCode>General</c:formatCode>
                <c:ptCount val="22"/>
                <c:pt idx="0">
                  <c:v>1</c:v>
                </c:pt>
                <c:pt idx="1">
                  <c:v>11</c:v>
                </c:pt>
                <c:pt idx="2">
                  <c:v>5</c:v>
                </c:pt>
                <c:pt idx="3">
                  <c:v>11</c:v>
                </c:pt>
                <c:pt idx="4">
                  <c:v>13</c:v>
                </c:pt>
                <c:pt idx="5">
                  <c:v>7</c:v>
                </c:pt>
                <c:pt idx="6">
                  <c:v>3</c:v>
                </c:pt>
                <c:pt idx="7">
                  <c:v>2</c:v>
                </c:pt>
                <c:pt idx="8">
                  <c:v>10</c:v>
                </c:pt>
                <c:pt idx="9">
                  <c:v>8</c:v>
                </c:pt>
                <c:pt idx="10">
                  <c:v>9</c:v>
                </c:pt>
                <c:pt idx="11">
                  <c:v>6</c:v>
                </c:pt>
                <c:pt idx="12">
                  <c:v>4</c:v>
                </c:pt>
                <c:pt idx="13">
                  <c:v>3</c:v>
                </c:pt>
                <c:pt idx="14">
                  <c:v>13</c:v>
                </c:pt>
                <c:pt idx="15">
                  <c:v>11</c:v>
                </c:pt>
                <c:pt idx="16">
                  <c:v>3</c:v>
                </c:pt>
                <c:pt idx="17">
                  <c:v>9</c:v>
                </c:pt>
                <c:pt idx="18">
                  <c:v>6</c:v>
                </c:pt>
                <c:pt idx="19">
                  <c:v>10</c:v>
                </c:pt>
                <c:pt idx="20">
                  <c:v>12</c:v>
                </c:pt>
                <c:pt idx="21">
                  <c:v>12</c:v>
                </c:pt>
              </c:numCache>
            </c:numRef>
          </c:cat>
          <c:val>
            <c:numRef>
              <c:f>'Material 1+2'!$R$2:$R$21</c:f>
              <c:numCache>
                <c:formatCode>0.00</c:formatCode>
                <c:ptCount val="20"/>
                <c:pt idx="0">
                  <c:v>1130.9447129854193</c:v>
                </c:pt>
                <c:pt idx="1">
                  <c:v>1130.9447129854193</c:v>
                </c:pt>
                <c:pt idx="2">
                  <c:v>1130.9447129854193</c:v>
                </c:pt>
                <c:pt idx="3">
                  <c:v>1130.9447129854193</c:v>
                </c:pt>
                <c:pt idx="4">
                  <c:v>1130.9447129854193</c:v>
                </c:pt>
                <c:pt idx="5">
                  <c:v>1130.9447129854193</c:v>
                </c:pt>
                <c:pt idx="6">
                  <c:v>1130.9447129854193</c:v>
                </c:pt>
                <c:pt idx="7">
                  <c:v>1130.9447129854193</c:v>
                </c:pt>
                <c:pt idx="8">
                  <c:v>1130.9447129854193</c:v>
                </c:pt>
                <c:pt idx="9">
                  <c:v>1130.9447129854193</c:v>
                </c:pt>
                <c:pt idx="10">
                  <c:v>1130.9447129854193</c:v>
                </c:pt>
                <c:pt idx="11">
                  <c:v>1130.9447129854193</c:v>
                </c:pt>
                <c:pt idx="12">
                  <c:v>1130.9447129854193</c:v>
                </c:pt>
                <c:pt idx="13">
                  <c:v>1130.9447129854193</c:v>
                </c:pt>
                <c:pt idx="14">
                  <c:v>1130.9447129854193</c:v>
                </c:pt>
                <c:pt idx="15">
                  <c:v>1130.9447129854193</c:v>
                </c:pt>
                <c:pt idx="16">
                  <c:v>1130.9447129854193</c:v>
                </c:pt>
                <c:pt idx="17">
                  <c:v>1130.9447129854193</c:v>
                </c:pt>
                <c:pt idx="18">
                  <c:v>1130.9447129854193</c:v>
                </c:pt>
                <c:pt idx="19">
                  <c:v>1130.9447129854193</c:v>
                </c:pt>
              </c:numCache>
            </c:numRef>
          </c:val>
          <c:smooth val="0"/>
          <c:extLst>
            <c:ext xmlns:c16="http://schemas.microsoft.com/office/drawing/2014/chart" uri="{C3380CC4-5D6E-409C-BE32-E72D297353CC}">
              <c16:uniqueId val="{00000006-1ADB-449F-903A-A60F040C8B5B}"/>
            </c:ext>
          </c:extLst>
        </c:ser>
        <c:dLbls>
          <c:showLegendKey val="0"/>
          <c:showVal val="0"/>
          <c:showCatName val="0"/>
          <c:showSerName val="0"/>
          <c:showPercent val="0"/>
          <c:showBubbleSize val="0"/>
        </c:dLbls>
        <c:marker val="1"/>
        <c:smooth val="0"/>
        <c:axId val="284660864"/>
        <c:axId val="284662400"/>
      </c:lineChart>
      <c:catAx>
        <c:axId val="284660864"/>
        <c:scaling>
          <c:orientation val="minMax"/>
        </c:scaling>
        <c:delete val="0"/>
        <c:axPos val="b"/>
        <c:title>
          <c:tx>
            <c:rich>
              <a:bodyPr/>
              <a:lstStyle/>
              <a:p>
                <a:pPr>
                  <a:defRPr/>
                </a:pPr>
                <a:r>
                  <a:rPr lang="en-US"/>
                  <a:t>Laboratory ID</a:t>
                </a:r>
              </a:p>
            </c:rich>
          </c:tx>
          <c:overlay val="0"/>
        </c:title>
        <c:numFmt formatCode="General" sourceLinked="0"/>
        <c:majorTickMark val="out"/>
        <c:minorTickMark val="none"/>
        <c:tickLblPos val="nextTo"/>
        <c:crossAx val="284662400"/>
        <c:crosses val="autoZero"/>
        <c:auto val="1"/>
        <c:lblAlgn val="ctr"/>
        <c:lblOffset val="100"/>
        <c:noMultiLvlLbl val="0"/>
      </c:catAx>
      <c:valAx>
        <c:axId val="284662400"/>
        <c:scaling>
          <c:orientation val="minMax"/>
        </c:scaling>
        <c:delete val="0"/>
        <c:axPos val="l"/>
        <c:majorGridlines/>
        <c:title>
          <c:tx>
            <c:rich>
              <a:bodyPr rot="-5400000" vert="horz"/>
              <a:lstStyle/>
              <a:p>
                <a:pPr>
                  <a:defRPr b="0"/>
                </a:pPr>
                <a:r>
                  <a:rPr lang="en-US" b="0"/>
                  <a:t>RNA copy number concentration (</a:t>
                </a:r>
                <a:r>
                  <a:rPr lang="en-US" b="0" i="1"/>
                  <a:t>gag</a:t>
                </a:r>
                <a:r>
                  <a:rPr lang="en-US" b="0"/>
                  <a:t> gene) (copies/</a:t>
                </a:r>
                <a:r>
                  <a:rPr lang="en-US" b="0">
                    <a:sym typeface="Symbol" panose="05050102010706020507" pitchFamily="18" charset="2"/>
                  </a:rPr>
                  <a:t></a:t>
                </a:r>
                <a:r>
                  <a:rPr lang="en-US" b="0"/>
                  <a:t>L)</a:t>
                </a:r>
              </a:p>
            </c:rich>
          </c:tx>
          <c:layout>
            <c:manualLayout>
              <c:xMode val="edge"/>
              <c:yMode val="edge"/>
              <c:x val="3.1203727062333417E-2"/>
              <c:y val="0.12720636192738388"/>
            </c:manualLayout>
          </c:layout>
          <c:overlay val="0"/>
        </c:title>
        <c:numFmt formatCode="General" sourceLinked="1"/>
        <c:majorTickMark val="out"/>
        <c:minorTickMark val="none"/>
        <c:tickLblPos val="nextTo"/>
        <c:crossAx val="284660864"/>
        <c:crosses val="autoZero"/>
        <c:crossBetween val="between"/>
      </c:valAx>
    </c:plotArea>
    <c:plotVisOnly val="1"/>
    <c:dispBlanksAs val="gap"/>
    <c:showDLblsOverMax val="0"/>
  </c:chart>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LGC</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Devonshire</dc:creator>
  <cp:keywords/>
  <dc:description/>
  <cp:lastModifiedBy>Jim Huggett</cp:lastModifiedBy>
  <cp:revision>7</cp:revision>
  <dcterms:created xsi:type="dcterms:W3CDTF">2020-07-11T11:11:00Z</dcterms:created>
  <dcterms:modified xsi:type="dcterms:W3CDTF">2020-07-14T09:56:00Z</dcterms:modified>
</cp:coreProperties>
</file>