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EF9FC" w14:textId="0D8B7BE8" w:rsidR="00306108" w:rsidRPr="0004579C" w:rsidRDefault="00306108" w:rsidP="00652022">
      <w:pPr>
        <w:jc w:val="center"/>
        <w:rPr>
          <w:b/>
          <w:bCs/>
          <w:sz w:val="28"/>
        </w:rPr>
      </w:pPr>
      <w:r w:rsidRPr="0004579C">
        <w:rPr>
          <w:b/>
          <w:bCs/>
          <w:sz w:val="28"/>
        </w:rPr>
        <w:t xml:space="preserve">Report from the CCQM </w:t>
      </w:r>
      <w:r w:rsidR="005635B2" w:rsidRPr="0004579C">
        <w:rPr>
          <w:b/>
          <w:bCs/>
          <w:sz w:val="28"/>
        </w:rPr>
        <w:t xml:space="preserve">Organic </w:t>
      </w:r>
      <w:r w:rsidRPr="0004579C">
        <w:rPr>
          <w:b/>
          <w:bCs/>
          <w:sz w:val="28"/>
        </w:rPr>
        <w:t>Analysis Working Group fo</w:t>
      </w:r>
      <w:r w:rsidR="00F30F2C" w:rsidRPr="0004579C">
        <w:rPr>
          <w:b/>
          <w:bCs/>
          <w:sz w:val="28"/>
        </w:rPr>
        <w:t xml:space="preserve">r the period </w:t>
      </w:r>
      <w:r w:rsidR="00720288">
        <w:rPr>
          <w:b/>
          <w:bCs/>
          <w:sz w:val="28"/>
        </w:rPr>
        <w:br/>
      </w:r>
      <w:bookmarkStart w:id="0" w:name="_GoBack"/>
      <w:bookmarkEnd w:id="0"/>
      <w:r w:rsidR="00F30F2C" w:rsidRPr="0004579C">
        <w:rPr>
          <w:b/>
          <w:bCs/>
          <w:sz w:val="28"/>
        </w:rPr>
        <w:t>(April 2019 – July</w:t>
      </w:r>
      <w:r w:rsidRPr="0004579C">
        <w:rPr>
          <w:b/>
          <w:bCs/>
          <w:sz w:val="28"/>
        </w:rPr>
        <w:t xml:space="preserve"> 2020)</w:t>
      </w:r>
    </w:p>
    <w:p w14:paraId="32A8E8BA" w14:textId="14A6AE96" w:rsidR="007D02F9" w:rsidRDefault="00F30AE2" w:rsidP="00A500C5">
      <w:pPr>
        <w:spacing w:after="240"/>
        <w:jc w:val="both"/>
      </w:pPr>
      <w:r>
        <w:t>During this</w:t>
      </w:r>
      <w:r w:rsidR="00783DAE">
        <w:t xml:space="preserve"> period, the </w:t>
      </w:r>
      <w:r w:rsidR="005635B2">
        <w:t>CCQM-O</w:t>
      </w:r>
      <w:r w:rsidR="00783DAE">
        <w:t>AWG me</w:t>
      </w:r>
      <w:r w:rsidR="005635B2">
        <w:t xml:space="preserve">t at INRIM on </w:t>
      </w:r>
      <w:r w:rsidR="00DF5921">
        <w:t>3-4</w:t>
      </w:r>
      <w:r w:rsidR="00783DAE">
        <w:t xml:space="preserve"> October 2019</w:t>
      </w:r>
      <w:r w:rsidR="00852F43">
        <w:t>,</w:t>
      </w:r>
      <w:r w:rsidR="00215994">
        <w:t xml:space="preserve"> </w:t>
      </w:r>
      <w:r w:rsidR="00852F43" w:rsidRPr="0047607E">
        <w:t>attended by 3</w:t>
      </w:r>
      <w:r w:rsidR="0047607E" w:rsidRPr="0047607E">
        <w:t>4</w:t>
      </w:r>
      <w:r w:rsidR="00852F43" w:rsidRPr="0047607E">
        <w:t xml:space="preserve"> delegates</w:t>
      </w:r>
      <w:r w:rsidR="00215994">
        <w:t>. F</w:t>
      </w:r>
      <w:r w:rsidR="00783DAE">
        <w:t xml:space="preserve">ive virtual meetings </w:t>
      </w:r>
      <w:r>
        <w:t xml:space="preserve">took place </w:t>
      </w:r>
      <w:r w:rsidR="00783DAE">
        <w:t xml:space="preserve">on </w:t>
      </w:r>
      <w:r w:rsidR="00215994">
        <w:t>27 May 5 June and</w:t>
      </w:r>
      <w:r w:rsidR="0047607E">
        <w:t xml:space="preserve"> </w:t>
      </w:r>
      <w:r w:rsidR="005635B2">
        <w:t>7, 9 and 10 July</w:t>
      </w:r>
      <w:r w:rsidR="00783DAE">
        <w:t xml:space="preserve"> 2020</w:t>
      </w:r>
      <w:r w:rsidR="00215994">
        <w:t xml:space="preserve"> with over 70 participants in each of these</w:t>
      </w:r>
      <w:r w:rsidR="00783DAE">
        <w:t>.</w:t>
      </w:r>
    </w:p>
    <w:p w14:paraId="14F4F98B" w14:textId="77777777" w:rsidR="00783DAE" w:rsidRPr="00867E0D" w:rsidRDefault="00783DAE" w:rsidP="00867E0D">
      <w:pPr>
        <w:spacing w:after="120"/>
        <w:rPr>
          <w:b/>
          <w:bCs/>
        </w:rPr>
      </w:pPr>
      <w:r w:rsidRPr="00867E0D">
        <w:rPr>
          <w:b/>
          <w:bCs/>
        </w:rPr>
        <w:t xml:space="preserve">1. Demonstrating and </w:t>
      </w:r>
      <w:r w:rsidR="001E3A4A">
        <w:rPr>
          <w:b/>
          <w:bCs/>
        </w:rPr>
        <w:t>d</w:t>
      </w:r>
      <w:r w:rsidRPr="00867E0D">
        <w:rPr>
          <w:b/>
          <w:bCs/>
        </w:rPr>
        <w:t>ocumenting the global comparability of measurements</w:t>
      </w:r>
    </w:p>
    <w:p w14:paraId="15161866" w14:textId="59847234" w:rsidR="00783DAE" w:rsidRDefault="00783DAE" w:rsidP="001E5120">
      <w:r w:rsidRPr="001E5120">
        <w:t>A</w:t>
      </w:r>
      <w:r w:rsidR="00F30F2C" w:rsidRPr="001E5120">
        <w:t xml:space="preserve"> summary of the a</w:t>
      </w:r>
      <w:r w:rsidR="001E5120">
        <w:t>c</w:t>
      </w:r>
      <w:r w:rsidR="00F30F2C" w:rsidRPr="001E5120">
        <w:t xml:space="preserve">tive OAWG key </w:t>
      </w:r>
      <w:r w:rsidR="001E5120" w:rsidRPr="001E5120">
        <w:t>c</w:t>
      </w:r>
      <w:r w:rsidR="001E5120">
        <w:t>ompar</w:t>
      </w:r>
      <w:r w:rsidR="001E5120" w:rsidRPr="001E5120">
        <w:t xml:space="preserve">isons is given in Figure 1. This aligns with our 10-year </w:t>
      </w:r>
      <w:r w:rsidR="001E5120">
        <w:t>plan fro</w:t>
      </w:r>
      <w:r w:rsidR="001E5120" w:rsidRPr="001E5120">
        <w:t xml:space="preserve">m our 2017-2026 strategy document for the Track A comparisons. The major additional burden has been from the number of participants who have requested </w:t>
      </w:r>
      <w:r w:rsidR="001E5120">
        <w:t>repeat</w:t>
      </w:r>
      <w:r w:rsidR="001E5120" w:rsidRPr="001E5120">
        <w:t xml:space="preserve"> comparisons due to po</w:t>
      </w:r>
      <w:r w:rsidR="001E5120">
        <w:t>o</w:t>
      </w:r>
      <w:r w:rsidR="001E5120" w:rsidRPr="001E5120">
        <w:t xml:space="preserve">r performance. </w:t>
      </w:r>
      <w:r w:rsidR="001E5120">
        <w:t>In the cases of CCQM-K146 and CCQM-K156 the co-ordinators kindly agreed to provide follow on KCs</w:t>
      </w:r>
      <w:r w:rsidR="00867E0D" w:rsidRPr="001E5120">
        <w:t>.</w:t>
      </w:r>
      <w:r w:rsidR="001E5120">
        <w:t xml:space="preserve"> </w:t>
      </w:r>
      <w:r w:rsidR="001E5120" w:rsidRPr="00E77F4D">
        <w:t xml:space="preserve">The only KC that the OAWG is seeking approval for from the CCQM is the </w:t>
      </w:r>
      <w:r w:rsidR="009A535E" w:rsidRPr="00E77F4D">
        <w:t>follow-on</w:t>
      </w:r>
      <w:r w:rsidR="001E5120" w:rsidRPr="00E77F4D">
        <w:t xml:space="preserve"> comparison requested from CCQM-K156, PFOS and PFOA in ground water, UME will co-ordinate this comparison</w:t>
      </w:r>
      <w:r w:rsidR="001E5120">
        <w:t xml:space="preserve"> and the proposed number is CCQM-K156.1.</w:t>
      </w:r>
    </w:p>
    <w:p w14:paraId="0BB2BECD" w14:textId="77777777" w:rsidR="000E5DD0" w:rsidRDefault="000E5DD0" w:rsidP="00A24037">
      <w:pPr>
        <w:spacing w:after="120"/>
        <w:jc w:val="both"/>
      </w:pPr>
      <w:r w:rsidRPr="000E5DD0">
        <w:rPr>
          <w:noProof/>
          <w:lang w:val="en-AU" w:eastAsia="en-AU"/>
        </w:rPr>
        <w:drawing>
          <wp:inline distT="0" distB="0" distL="0" distR="0" wp14:anchorId="7C996A6C" wp14:editId="2494B110">
            <wp:extent cx="5731510" cy="274455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744557"/>
                    </a:xfrm>
                    <a:prstGeom prst="rect">
                      <a:avLst/>
                    </a:prstGeom>
                    <a:noFill/>
                    <a:ln>
                      <a:noFill/>
                    </a:ln>
                  </pic:spPr>
                </pic:pic>
              </a:graphicData>
            </a:graphic>
          </wp:inline>
        </w:drawing>
      </w:r>
    </w:p>
    <w:p w14:paraId="634E655C" w14:textId="77777777" w:rsidR="00CE7E41" w:rsidRDefault="00DD7BB1" w:rsidP="00DD7BB1">
      <w:pPr>
        <w:rPr>
          <w:sz w:val="18"/>
          <w:szCs w:val="18"/>
        </w:rPr>
      </w:pPr>
      <w:r w:rsidRPr="00DD7BB1">
        <w:rPr>
          <w:b/>
          <w:bCs/>
          <w:sz w:val="18"/>
          <w:szCs w:val="18"/>
        </w:rPr>
        <w:t>Figure 1</w:t>
      </w:r>
      <w:r w:rsidRPr="00DD7BB1">
        <w:rPr>
          <w:sz w:val="18"/>
          <w:szCs w:val="18"/>
        </w:rPr>
        <w:t xml:space="preserve"> </w:t>
      </w:r>
      <w:r w:rsidR="000E5DD0">
        <w:rPr>
          <w:sz w:val="18"/>
          <w:szCs w:val="18"/>
        </w:rPr>
        <w:t>Current</w:t>
      </w:r>
      <w:r w:rsidR="00637FEF">
        <w:rPr>
          <w:sz w:val="18"/>
          <w:szCs w:val="18"/>
        </w:rPr>
        <w:t xml:space="preserve"> </w:t>
      </w:r>
      <w:r w:rsidR="000E5DD0">
        <w:rPr>
          <w:sz w:val="18"/>
          <w:szCs w:val="18"/>
        </w:rPr>
        <w:t>CCQM-O</w:t>
      </w:r>
      <w:r w:rsidRPr="00DD7BB1">
        <w:rPr>
          <w:sz w:val="18"/>
          <w:szCs w:val="18"/>
        </w:rPr>
        <w:t>AWG comparisons.</w:t>
      </w:r>
    </w:p>
    <w:p w14:paraId="51935EAD" w14:textId="6747CE7C" w:rsidR="00CE7E41" w:rsidRDefault="00BC2A1E" w:rsidP="00DD7BB1">
      <w:r>
        <w:t>The Final Report for the</w:t>
      </w:r>
      <w:r w:rsidR="000F10C5">
        <w:t xml:space="preserve"> Track A key comparison </w:t>
      </w:r>
      <w:r w:rsidR="005202AD">
        <w:t>CCQM-K</w:t>
      </w:r>
      <w:r w:rsidR="000E5DD0">
        <w:t>146</w:t>
      </w:r>
      <w:r w:rsidR="000F10C5">
        <w:t>:</w:t>
      </w:r>
      <w:r w:rsidR="000E5DD0">
        <w:t xml:space="preserve"> </w:t>
      </w:r>
      <w:proofErr w:type="spellStart"/>
      <w:r w:rsidR="000E5DD0">
        <w:t>Polyaromatic</w:t>
      </w:r>
      <w:proofErr w:type="spellEnd"/>
      <w:r w:rsidR="000E5DD0">
        <w:t xml:space="preserve"> hydrocarbons in olive oil</w:t>
      </w:r>
      <w:r w:rsidR="000F10C5">
        <w:t>,</w:t>
      </w:r>
      <w:r w:rsidR="000E5DD0">
        <w:t xml:space="preserve"> which has been approved by the WG chairs</w:t>
      </w:r>
      <w:r>
        <w:t xml:space="preserve">, </w:t>
      </w:r>
      <w:r w:rsidR="001E5120">
        <w:t>is the only OAWG KC that will go into the KCDB since the April 2019 CCQM meeting</w:t>
      </w:r>
      <w:r w:rsidR="005202AD">
        <w:t>.</w:t>
      </w:r>
      <w:r w:rsidR="000F10C5">
        <w:t xml:space="preserve"> The KCRV value for </w:t>
      </w:r>
      <w:r>
        <w:t>the benzo[a]pyrene content of the comparison material</w:t>
      </w:r>
      <w:r w:rsidR="000F10C5">
        <w:t xml:space="preserve"> </w:t>
      </w:r>
      <w:r>
        <w:t>used</w:t>
      </w:r>
      <w:r w:rsidR="000F10C5">
        <w:t xml:space="preserve"> a </w:t>
      </w:r>
      <w:r w:rsidR="000F10C5" w:rsidRPr="00E23E48">
        <w:t>Hierarchical Bayes</w:t>
      </w:r>
      <w:r w:rsidR="00C02053">
        <w:t xml:space="preserve"> estimator and was </w:t>
      </w:r>
      <w:r w:rsidR="000F10C5">
        <w:t xml:space="preserve">determined as 2.74 </w:t>
      </w:r>
      <w:r w:rsidR="000F10C5" w:rsidRPr="00C324F7">
        <w:rPr>
          <w:rFonts w:hint="eastAsia"/>
        </w:rPr>
        <w:t>µ</w:t>
      </w:r>
      <w:r w:rsidR="000F10C5" w:rsidRPr="00C324F7">
        <w:t>g/kg</w:t>
      </w:r>
      <w:r w:rsidR="004B4BB5">
        <w:t xml:space="preserve"> with a standard</w:t>
      </w:r>
      <w:r w:rsidR="004B4BB5" w:rsidRPr="00177B1A">
        <w:t xml:space="preserve"> uncertainty </w:t>
      </w:r>
      <w:r w:rsidR="004B4BB5">
        <w:t>of</w:t>
      </w:r>
      <w:r w:rsidR="004B4BB5" w:rsidRPr="00177B1A">
        <w:t xml:space="preserve"> 0.03</w:t>
      </w:r>
      <w:r w:rsidR="004B4BB5">
        <w:t xml:space="preserve"> </w:t>
      </w:r>
      <w:r w:rsidR="004B4BB5" w:rsidRPr="00E23E48">
        <w:rPr>
          <w:rFonts w:hint="eastAsia"/>
        </w:rPr>
        <w:t>µ</w:t>
      </w:r>
      <w:r w:rsidR="004B4BB5" w:rsidRPr="00E23E48">
        <w:t>g/kg</w:t>
      </w:r>
      <w:r w:rsidR="004B4BB5">
        <w:t>.</w:t>
      </w:r>
    </w:p>
    <w:p w14:paraId="1DA3EE0A" w14:textId="491E1A32" w:rsidR="001E5120" w:rsidRPr="00CE7E41" w:rsidRDefault="001E5120" w:rsidP="00DD7BB1">
      <w:r>
        <w:t xml:space="preserve">There were a significant number of results for CCQM-K146 that did not agree with the KCRV. At the October 2019 OAWG meeting the investigations and improvements carried out by several of these participants were presented. In addition, the results from the </w:t>
      </w:r>
      <w:r w:rsidR="009A535E">
        <w:t>follow-on</w:t>
      </w:r>
      <w:r>
        <w:t xml:space="preserve"> comparison, CCQM-K146.1</w:t>
      </w:r>
      <w:r w:rsidR="00FE4DCE">
        <w:t>,</w:t>
      </w:r>
      <w:r>
        <w:t xml:space="preserve"> were presented and reviewed</w:t>
      </w:r>
      <w:r w:rsidR="009A535E">
        <w:t xml:space="preserve">. </w:t>
      </w:r>
    </w:p>
    <w:p w14:paraId="0BB7FEB1" w14:textId="3897FDC5" w:rsidR="00F03E7C" w:rsidRDefault="00F03E7C" w:rsidP="005B1EAE">
      <w:r>
        <w:t xml:space="preserve">The meeting included presentations from five participants in the Track C key comparison </w:t>
      </w:r>
      <w:r w:rsidR="00E75182">
        <w:t xml:space="preserve">CCQM-K156 </w:t>
      </w:r>
      <w:r>
        <w:t xml:space="preserve">covering the important global measurement issue </w:t>
      </w:r>
      <w:r w:rsidRPr="0004579C">
        <w:t>of p</w:t>
      </w:r>
      <w:r w:rsidR="0004579C" w:rsidRPr="0004579C">
        <w:t>er</w:t>
      </w:r>
      <w:r w:rsidRPr="0004579C">
        <w:t xml:space="preserve">- and </w:t>
      </w:r>
      <w:r w:rsidR="0004579C" w:rsidRPr="0004579C">
        <w:t>poly</w:t>
      </w:r>
      <w:r w:rsidRPr="0004579C">
        <w:t>-</w:t>
      </w:r>
      <w:proofErr w:type="spellStart"/>
      <w:r w:rsidRPr="0004579C">
        <w:t>fluor</w:t>
      </w:r>
      <w:r w:rsidR="0004579C" w:rsidRPr="0004579C">
        <w:t>oalkyl</w:t>
      </w:r>
      <w:proofErr w:type="spellEnd"/>
      <w:r w:rsidRPr="0004579C">
        <w:t xml:space="preserve"> substances</w:t>
      </w:r>
      <w:r>
        <w:t xml:space="preserve"> in groundwater. </w:t>
      </w:r>
      <w:r w:rsidR="00E75182">
        <w:t xml:space="preserve">These involved detailed discussions of the methodologies and any observed biases. </w:t>
      </w:r>
    </w:p>
    <w:p w14:paraId="2CB27F07" w14:textId="2D09E053" w:rsidR="009967CB" w:rsidRPr="00C61E99" w:rsidRDefault="009967CB" w:rsidP="009967CB">
      <w:pPr>
        <w:rPr>
          <w:rFonts w:ascii="Calibri" w:eastAsia="Calibri" w:hAnsi="Calibri"/>
          <w:b/>
          <w:color w:val="FF0000"/>
        </w:rPr>
      </w:pPr>
      <w:r>
        <w:lastRenderedPageBreak/>
        <w:t xml:space="preserve">The WG reviewed the initial results for two RMO comparisons at its VC on 5 June: </w:t>
      </w:r>
      <w:r w:rsidRPr="009967CB">
        <w:t>EURAMET.QM-S14 (Model 1) and SIM.QM-K27.2019</w:t>
      </w:r>
      <w:r>
        <w:t>,</w:t>
      </w:r>
      <w:r w:rsidRPr="009967CB">
        <w:t xml:space="preserve"> both </w:t>
      </w:r>
      <w:r w:rsidR="009A535E">
        <w:t>examining</w:t>
      </w:r>
      <w:r w:rsidRPr="009967CB">
        <w:t xml:space="preserve"> aqueous ethanol solutions</w:t>
      </w:r>
      <w:r>
        <w:t xml:space="preserve">. This measurement area remains a high priority one across the WG with respect to national standards for forensic use. </w:t>
      </w:r>
    </w:p>
    <w:p w14:paraId="100B7D2C" w14:textId="413C35AD" w:rsidR="00FE4DCE" w:rsidRDefault="002C05DB" w:rsidP="00E75182">
      <w:r w:rsidRPr="002C05DB">
        <w:t xml:space="preserve">The BIPM presented updates on the </w:t>
      </w:r>
      <w:r w:rsidR="00FE4DCE">
        <w:t>comparisons</w:t>
      </w:r>
      <w:r w:rsidRPr="002C05DB">
        <w:t xml:space="preserve"> that it </w:t>
      </w:r>
      <w:r>
        <w:t>is co-ordinating</w:t>
      </w:r>
      <w:r w:rsidRPr="002C05DB">
        <w:t xml:space="preserve"> </w:t>
      </w:r>
      <w:r w:rsidR="00FE4DCE">
        <w:t>for the OAWG</w:t>
      </w:r>
      <w:r w:rsidRPr="002C05DB">
        <w:t xml:space="preserve">. </w:t>
      </w:r>
      <w:r w:rsidR="00FE4DCE">
        <w:t xml:space="preserve">Further details of the status of these comparisons are provided in the separate report on BIPM activities. </w:t>
      </w:r>
      <w:r>
        <w:t xml:space="preserve">The KCRV for </w:t>
      </w:r>
      <w:r w:rsidR="00FE4DCE">
        <w:t xml:space="preserve">the Track A purity comparison, </w:t>
      </w:r>
      <w:r>
        <w:t>CCQM-K148.a</w:t>
      </w:r>
      <w:r w:rsidR="00FE4DCE">
        <w:t>,</w:t>
      </w:r>
      <w:r>
        <w:t xml:space="preserve"> on the purity of </w:t>
      </w:r>
      <w:r w:rsidR="00FE4DCE">
        <w:t xml:space="preserve">a </w:t>
      </w:r>
      <w:r>
        <w:t>Bisphenol A</w:t>
      </w:r>
      <w:r w:rsidR="00FE4DCE">
        <w:t xml:space="preserve"> material </w:t>
      </w:r>
      <w:r>
        <w:t>was discussed in October and agreed during the May meeting. For t</w:t>
      </w:r>
      <w:r w:rsidRPr="002C05DB">
        <w:t xml:space="preserve">he next </w:t>
      </w:r>
      <w:r w:rsidR="00FE4DCE">
        <w:t xml:space="preserve">Track A </w:t>
      </w:r>
      <w:r>
        <w:t xml:space="preserve">purity comparison, </w:t>
      </w:r>
      <w:r w:rsidRPr="002C05DB">
        <w:t>CCQM-K148.b</w:t>
      </w:r>
      <w:r>
        <w:t>,</w:t>
      </w:r>
      <w:r w:rsidRPr="002C05DB">
        <w:t xml:space="preserve"> </w:t>
      </w:r>
      <w:r>
        <w:t xml:space="preserve">the </w:t>
      </w:r>
      <w:r w:rsidRPr="002C05DB">
        <w:t xml:space="preserve">mass fraction of free base of </w:t>
      </w:r>
      <w:proofErr w:type="spellStart"/>
      <w:r w:rsidRPr="002C05DB">
        <w:t>oxytetracycline</w:t>
      </w:r>
      <w:proofErr w:type="spellEnd"/>
      <w:r>
        <w:t xml:space="preserve"> in </w:t>
      </w:r>
      <w:r w:rsidR="00FE4DCE">
        <w:t xml:space="preserve">a sample of </w:t>
      </w:r>
      <w:proofErr w:type="spellStart"/>
      <w:r>
        <w:t>oxytetracycline</w:t>
      </w:r>
      <w:proofErr w:type="spellEnd"/>
      <w:r>
        <w:t xml:space="preserve"> hydrochloride has been proposed as the </w:t>
      </w:r>
      <w:proofErr w:type="spellStart"/>
      <w:r>
        <w:t>measurand</w:t>
      </w:r>
      <w:proofErr w:type="spellEnd"/>
      <w:r w:rsidRPr="002C05DB">
        <w:t xml:space="preserve">. There will be an optional </w:t>
      </w:r>
      <w:proofErr w:type="spellStart"/>
      <w:r w:rsidRPr="002C05DB">
        <w:t>measurand</w:t>
      </w:r>
      <w:proofErr w:type="spellEnd"/>
      <w:r w:rsidRPr="002C05DB">
        <w:t xml:space="preserve"> of the mass fraction of the hydrochloride salt. </w:t>
      </w:r>
      <w:r w:rsidR="00FE4DCE">
        <w:t xml:space="preserve">BIPM is also coordinating the next Track A </w:t>
      </w:r>
      <w:r w:rsidR="00FE4DCE" w:rsidRPr="002C05DB">
        <w:t xml:space="preserve">non-polar multicomponent organic </w:t>
      </w:r>
      <w:r w:rsidR="00FE4DCE">
        <w:t xml:space="preserve">calibration solution comparison, </w:t>
      </w:r>
      <w:r w:rsidRPr="002C05DB">
        <w:t>CCQM-K78.b</w:t>
      </w:r>
      <w:r w:rsidR="00FE4DCE">
        <w:t xml:space="preserve">, </w:t>
      </w:r>
      <w:r w:rsidR="005C49BB">
        <w:t xml:space="preserve">which is </w:t>
      </w:r>
      <w:r w:rsidR="00FE4DCE">
        <w:t xml:space="preserve">planned for </w:t>
      </w:r>
      <w:r w:rsidR="005C49BB">
        <w:t xml:space="preserve">the second half of </w:t>
      </w:r>
      <w:r w:rsidR="00FE4DCE">
        <w:t>2021.</w:t>
      </w:r>
      <w:r w:rsidRPr="002C05DB">
        <w:t xml:space="preserve"> </w:t>
      </w:r>
      <w:r w:rsidR="00FE4DCE">
        <w:t>The</w:t>
      </w:r>
      <w:r w:rsidRPr="002C05DB">
        <w:t xml:space="preserve"> two </w:t>
      </w:r>
      <w:proofErr w:type="spellStart"/>
      <w:r w:rsidRPr="002C05DB">
        <w:t>analytes</w:t>
      </w:r>
      <w:proofErr w:type="spellEnd"/>
      <w:r w:rsidRPr="002C05DB">
        <w:t xml:space="preserve"> </w:t>
      </w:r>
      <w:r w:rsidR="005C49BB">
        <w:t>will be</w:t>
      </w:r>
      <w:r w:rsidRPr="002C05DB">
        <w:t xml:space="preserve"> </w:t>
      </w:r>
      <w:proofErr w:type="spellStart"/>
      <w:r w:rsidRPr="002C05DB">
        <w:t>methoxychlor</w:t>
      </w:r>
      <w:proofErr w:type="spellEnd"/>
      <w:r w:rsidRPr="002C05DB">
        <w:t xml:space="preserve"> and </w:t>
      </w:r>
      <w:proofErr w:type="spellStart"/>
      <w:r w:rsidRPr="002C05DB">
        <w:t>trifluralin</w:t>
      </w:r>
      <w:proofErr w:type="spellEnd"/>
      <w:r w:rsidRPr="002C05DB">
        <w:t xml:space="preserve">. </w:t>
      </w:r>
    </w:p>
    <w:p w14:paraId="56C00842" w14:textId="69291BCF" w:rsidR="001E5120" w:rsidRDefault="009C57BD" w:rsidP="00E75182">
      <w:r>
        <w:t>A</w:t>
      </w:r>
      <w:r w:rsidR="002C05DB" w:rsidRPr="002C05DB">
        <w:t xml:space="preserve">s part of the BIPM </w:t>
      </w:r>
      <w:r w:rsidR="00FE4DCE">
        <w:t>Mycotoxin Metrology Capacity Building and Knowledge Transfer</w:t>
      </w:r>
      <w:r w:rsidR="002C05DB" w:rsidRPr="002C05DB">
        <w:t xml:space="preserve"> Programme, the </w:t>
      </w:r>
      <w:r w:rsidR="00FE4DCE">
        <w:t xml:space="preserve">BIPM is </w:t>
      </w:r>
      <w:r w:rsidR="00EA5CE8">
        <w:t xml:space="preserve">also </w:t>
      </w:r>
      <w:r w:rsidR="00FE4DCE">
        <w:t>coordinating a series of Track C</w:t>
      </w:r>
      <w:r w:rsidR="005C49BB">
        <w:t>, Model 2</w:t>
      </w:r>
      <w:r w:rsidR="00FE4DCE">
        <w:t xml:space="preserve"> calibration solution </w:t>
      </w:r>
      <w:r w:rsidR="005C49BB">
        <w:t xml:space="preserve">key </w:t>
      </w:r>
      <w:r w:rsidR="00FE4DCE">
        <w:t>comparisons. The</w:t>
      </w:r>
      <w:r w:rsidR="00FE4DCE" w:rsidRPr="002C05DB">
        <w:t xml:space="preserve"> </w:t>
      </w:r>
      <w:r w:rsidR="002C05DB" w:rsidRPr="002C05DB">
        <w:t xml:space="preserve">Draft B report for CCQM-K154.a for </w:t>
      </w:r>
      <w:proofErr w:type="spellStart"/>
      <w:r w:rsidR="002C05DB" w:rsidRPr="002C05DB">
        <w:t>zearalenone</w:t>
      </w:r>
      <w:proofErr w:type="spellEnd"/>
      <w:r w:rsidR="002C05DB" w:rsidRPr="002C05DB">
        <w:t xml:space="preserve"> solutions was discussed </w:t>
      </w:r>
      <w:r w:rsidR="00FE4DCE">
        <w:t xml:space="preserve">in May </w:t>
      </w:r>
      <w:r w:rsidR="002C05DB" w:rsidRPr="002C05DB">
        <w:t xml:space="preserve">and the </w:t>
      </w:r>
      <w:r>
        <w:t xml:space="preserve">timing and </w:t>
      </w:r>
      <w:r w:rsidR="002C05DB" w:rsidRPr="002C05DB">
        <w:t xml:space="preserve">protocol for the </w:t>
      </w:r>
      <w:r>
        <w:t>CCQM-K154.b</w:t>
      </w:r>
      <w:r w:rsidRPr="002C05DB">
        <w:t xml:space="preserve"> </w:t>
      </w:r>
      <w:r w:rsidR="005C49BB">
        <w:t xml:space="preserve">comparison </w:t>
      </w:r>
      <w:r w:rsidR="005C49BB" w:rsidRPr="002C05DB">
        <w:t>for aflatoxin B1</w:t>
      </w:r>
      <w:r w:rsidR="005C49BB">
        <w:t xml:space="preserve"> solutions</w:t>
      </w:r>
      <w:r>
        <w:t xml:space="preserve"> </w:t>
      </w:r>
      <w:r w:rsidR="00EA5CE8">
        <w:t xml:space="preserve">planned to start in late 2020 </w:t>
      </w:r>
      <w:r>
        <w:t>has been</w:t>
      </w:r>
      <w:r w:rsidR="00FE4DCE">
        <w:t xml:space="preserve"> finalized</w:t>
      </w:r>
      <w:r w:rsidR="002C05DB" w:rsidRPr="002C05DB">
        <w:t xml:space="preserve">. </w:t>
      </w:r>
    </w:p>
    <w:p w14:paraId="2009A837" w14:textId="5602D158" w:rsidR="001E5120" w:rsidRDefault="001E5120" w:rsidP="00E75182">
      <w:r>
        <w:t xml:space="preserve">Due to the coronavirus situation the timing for the two Track A </w:t>
      </w:r>
      <w:r w:rsidR="00FE4DCE">
        <w:t xml:space="preserve">matrix </w:t>
      </w:r>
      <w:r>
        <w:t xml:space="preserve">KCs </w:t>
      </w:r>
      <w:r w:rsidR="00535D12">
        <w:t xml:space="preserve">CCQM-K159 and CCQM-K168 </w:t>
      </w:r>
      <w:r w:rsidR="00FE4DCE">
        <w:t xml:space="preserve">originally </w:t>
      </w:r>
      <w:r>
        <w:t xml:space="preserve">planned for </w:t>
      </w:r>
      <w:r w:rsidR="006B0545">
        <w:t>2020 and 2021</w:t>
      </w:r>
      <w:r w:rsidR="00535D12">
        <w:t xml:space="preserve"> respectively </w:t>
      </w:r>
      <w:r w:rsidR="006B0545">
        <w:t xml:space="preserve">have </w:t>
      </w:r>
      <w:r w:rsidR="008E27FC">
        <w:t xml:space="preserve">had to be revised </w:t>
      </w:r>
      <w:r w:rsidR="001144D5">
        <w:t xml:space="preserve">as </w:t>
      </w:r>
      <w:r w:rsidR="008E27FC">
        <w:t xml:space="preserve">these will now overlap </w:t>
      </w:r>
      <w:r w:rsidR="00535D12">
        <w:t xml:space="preserve">in 2021 </w:t>
      </w:r>
      <w:r w:rsidR="008E27FC">
        <w:t xml:space="preserve">and have extended timeframes. </w:t>
      </w:r>
    </w:p>
    <w:p w14:paraId="2D871076" w14:textId="77777777" w:rsidR="00E75182" w:rsidRPr="006B0545" w:rsidRDefault="008E27FC" w:rsidP="006B0545">
      <w:r>
        <w:t>The WG progressed its guidance document on the rationale for the choice of KCRV Estimators and a</w:t>
      </w:r>
      <w:r w:rsidR="006B0545">
        <w:t>n</w:t>
      </w:r>
      <w:r>
        <w:t xml:space="preserve"> updated version of this was produced in June 2020</w:t>
      </w:r>
      <w:r w:rsidR="006B0545">
        <w:t xml:space="preserve">. </w:t>
      </w:r>
    </w:p>
    <w:p w14:paraId="318F4779" w14:textId="77777777" w:rsidR="00783DAE" w:rsidRDefault="00783DAE" w:rsidP="00604FEE">
      <w:pPr>
        <w:spacing w:after="120"/>
        <w:rPr>
          <w:b/>
          <w:bCs/>
        </w:rPr>
      </w:pPr>
      <w:r w:rsidRPr="00783DAE">
        <w:rPr>
          <w:b/>
          <w:bCs/>
        </w:rPr>
        <w:t>2. W</w:t>
      </w:r>
      <w:r w:rsidR="00A500C5">
        <w:rPr>
          <w:b/>
          <w:bCs/>
        </w:rPr>
        <w:t>orking group</w:t>
      </w:r>
      <w:r w:rsidRPr="00783DAE">
        <w:rPr>
          <w:b/>
          <w:bCs/>
        </w:rPr>
        <w:t xml:space="preserve"> activities progress</w:t>
      </w:r>
      <w:r w:rsidR="00A500C5">
        <w:rPr>
          <w:b/>
          <w:bCs/>
        </w:rPr>
        <w:t>ing</w:t>
      </w:r>
      <w:r w:rsidRPr="00783DAE">
        <w:rPr>
          <w:b/>
          <w:bCs/>
        </w:rPr>
        <w:t xml:space="preserve"> the state of the art of measurements science</w:t>
      </w:r>
    </w:p>
    <w:p w14:paraId="60B5C72B" w14:textId="34AD76E5" w:rsidR="005B1EAE" w:rsidRDefault="006B0545" w:rsidP="0010339E">
      <w:pPr>
        <w:jc w:val="both"/>
      </w:pPr>
      <w:r>
        <w:t xml:space="preserve">The WG has two current priority areas to progress capabilities among members and these cover purity assignment approaches and uncertainty approaches. </w:t>
      </w:r>
      <w:r w:rsidR="005B1EAE">
        <w:t xml:space="preserve">At the October 2019 OAWG meeting </w:t>
      </w:r>
      <w:r>
        <w:t>a t</w:t>
      </w:r>
      <w:r w:rsidR="00E75182" w:rsidRPr="006B0545">
        <w:t>echnical seminar on purity assessment of salt materials</w:t>
      </w:r>
      <w:r>
        <w:t xml:space="preserve"> was held with six institutes presenting their approaches. The </w:t>
      </w:r>
      <w:r w:rsidR="009834BB">
        <w:t>W</w:t>
      </w:r>
      <w:r>
        <w:t>G has held no KCs in this area and this has implications on broad CMC claims that are being request</w:t>
      </w:r>
      <w:r w:rsidR="001144D5">
        <w:t>ed</w:t>
      </w:r>
      <w:r>
        <w:t xml:space="preserve"> that imply capabilities in salt purity assessment. The agreement from this discussion in relation to CMCs was fed into the 2019 CMC cycle.  </w:t>
      </w:r>
    </w:p>
    <w:p w14:paraId="38A6B123" w14:textId="77777777" w:rsidR="00E75182" w:rsidRPr="006B0545" w:rsidRDefault="006B0545" w:rsidP="006B0545">
      <w:pPr>
        <w:jc w:val="both"/>
        <w:rPr>
          <w:rFonts w:ascii="Calibri" w:eastAsia="Calibri" w:hAnsi="Calibri"/>
          <w:b/>
          <w:bCs/>
          <w:sz w:val="26"/>
        </w:rPr>
      </w:pPr>
      <w:r>
        <w:t xml:space="preserve">Following on from a series of workshops examining uncertainty approaches for purity assessment, a workshop was held on </w:t>
      </w:r>
      <w:r w:rsidR="00E75182" w:rsidRPr="006B0545">
        <w:t xml:space="preserve">matrix measurement uncertainty approaches related to CCQM-K146 and 146.1 </w:t>
      </w:r>
      <w:r w:rsidRPr="006B0545">
        <w:t>in October. This remains a priority area for the WG.</w:t>
      </w:r>
      <w:r>
        <w:rPr>
          <w:rFonts w:ascii="Calibri" w:eastAsia="Calibri" w:hAnsi="Calibri"/>
          <w:b/>
          <w:bCs/>
          <w:sz w:val="26"/>
        </w:rPr>
        <w:t xml:space="preserve"> </w:t>
      </w:r>
    </w:p>
    <w:p w14:paraId="6DE6507F" w14:textId="77777777" w:rsidR="00783DAE" w:rsidRDefault="00783DAE" w:rsidP="00867E0D">
      <w:pPr>
        <w:spacing w:after="120"/>
        <w:rPr>
          <w:b/>
          <w:bCs/>
        </w:rPr>
      </w:pPr>
      <w:r w:rsidRPr="00783DAE">
        <w:rPr>
          <w:b/>
          <w:bCs/>
        </w:rPr>
        <w:t>3. W</w:t>
      </w:r>
      <w:r w:rsidR="0012106A">
        <w:rPr>
          <w:b/>
          <w:bCs/>
        </w:rPr>
        <w:t>orking group</w:t>
      </w:r>
      <w:r w:rsidRPr="00783DAE">
        <w:rPr>
          <w:b/>
          <w:bCs/>
        </w:rPr>
        <w:t xml:space="preserve"> </w:t>
      </w:r>
      <w:r w:rsidR="0012106A">
        <w:rPr>
          <w:b/>
          <w:bCs/>
        </w:rPr>
        <w:t>s</w:t>
      </w:r>
      <w:r w:rsidRPr="00783DAE">
        <w:rPr>
          <w:b/>
          <w:bCs/>
        </w:rPr>
        <w:t xml:space="preserve">takeholder </w:t>
      </w:r>
      <w:r w:rsidR="0012106A">
        <w:rPr>
          <w:b/>
          <w:bCs/>
        </w:rPr>
        <w:t>e</w:t>
      </w:r>
      <w:r w:rsidRPr="00783DAE">
        <w:rPr>
          <w:b/>
          <w:bCs/>
        </w:rPr>
        <w:t xml:space="preserve">ngagement </w:t>
      </w:r>
      <w:r w:rsidR="0012106A">
        <w:rPr>
          <w:b/>
          <w:bCs/>
        </w:rPr>
        <w:t>a</w:t>
      </w:r>
      <w:r w:rsidRPr="00783DAE">
        <w:rPr>
          <w:b/>
          <w:bCs/>
        </w:rPr>
        <w:t>ctivities</w:t>
      </w:r>
    </w:p>
    <w:p w14:paraId="37AB0E99" w14:textId="77777777" w:rsidR="006B0545" w:rsidRDefault="006B0545" w:rsidP="006B0545">
      <w:r>
        <w:t xml:space="preserve">Ralf Josephs from </w:t>
      </w:r>
      <w:r w:rsidR="00A35131">
        <w:t>B</w:t>
      </w:r>
      <w:r>
        <w:t xml:space="preserve">IPM presented to the WG on the PAWG </w:t>
      </w:r>
      <w:r w:rsidR="00A35131" w:rsidRPr="00A35131">
        <w:t>Track A comparison CCQM-K115.b for</w:t>
      </w:r>
      <w:r w:rsidR="00A35131">
        <w:t xml:space="preserve"> Oxytocin </w:t>
      </w:r>
      <w:r w:rsidRPr="00A35131">
        <w:t>purity</w:t>
      </w:r>
      <w:r w:rsidR="00A35131" w:rsidRPr="00A35131">
        <w:t xml:space="preserve"> to keep the WG up to date on the tech</w:t>
      </w:r>
      <w:r w:rsidR="00A35131">
        <w:t>nical</w:t>
      </w:r>
      <w:r w:rsidR="00A35131" w:rsidRPr="00A35131">
        <w:t xml:space="preserve"> discussion</w:t>
      </w:r>
      <w:r w:rsidR="00A35131">
        <w:t>s</w:t>
      </w:r>
      <w:r w:rsidR="00A35131" w:rsidRPr="00A35131">
        <w:t xml:space="preserve"> occurring within the PAWG on large molecule purity assessment</w:t>
      </w:r>
      <w:r w:rsidR="00A35131">
        <w:t xml:space="preserve"> as there is considerable overlap in techniques and approaches. </w:t>
      </w:r>
    </w:p>
    <w:p w14:paraId="385BE42A" w14:textId="392C8C58" w:rsidR="003A25E5" w:rsidRPr="003A25E5" w:rsidRDefault="00D92E2F" w:rsidP="00A35131">
      <w:r>
        <w:t>P</w:t>
      </w:r>
      <w:r w:rsidR="00A35131">
        <w:t xml:space="preserve">reliminary discussions were held with an accreditation body and within APMP to discuss the assessment of non-NMI/DI producers of organic calibration CRMs. There are currently no PT services in this space and the </w:t>
      </w:r>
      <w:r>
        <w:t xml:space="preserve">potential </w:t>
      </w:r>
      <w:r w:rsidR="00A35131">
        <w:t xml:space="preserve">role of CCQM and </w:t>
      </w:r>
      <w:r>
        <w:t>NMIs</w:t>
      </w:r>
      <w:r w:rsidR="00A35131">
        <w:t xml:space="preserve"> </w:t>
      </w:r>
      <w:r>
        <w:t xml:space="preserve">to support this activity </w:t>
      </w:r>
      <w:r w:rsidR="00A35131">
        <w:t xml:space="preserve">is being considered. </w:t>
      </w:r>
    </w:p>
    <w:p w14:paraId="384CFE45" w14:textId="77777777" w:rsidR="00E75182" w:rsidRDefault="00783DAE" w:rsidP="00856C36">
      <w:pPr>
        <w:spacing w:after="120"/>
        <w:rPr>
          <w:b/>
          <w:bCs/>
        </w:rPr>
      </w:pPr>
      <w:r w:rsidRPr="00783DAE">
        <w:rPr>
          <w:b/>
          <w:bCs/>
        </w:rPr>
        <w:t xml:space="preserve">4. </w:t>
      </w:r>
      <w:r w:rsidR="00A35131">
        <w:rPr>
          <w:b/>
          <w:bCs/>
        </w:rPr>
        <w:t>Progressing</w:t>
      </w:r>
      <w:r w:rsidR="00E75182">
        <w:rPr>
          <w:b/>
          <w:bCs/>
        </w:rPr>
        <w:t xml:space="preserve"> Broad </w:t>
      </w:r>
      <w:r w:rsidR="00A35131">
        <w:rPr>
          <w:b/>
          <w:bCs/>
        </w:rPr>
        <w:t>Claim</w:t>
      </w:r>
      <w:r w:rsidR="00E75182">
        <w:rPr>
          <w:b/>
          <w:bCs/>
        </w:rPr>
        <w:t xml:space="preserve"> CMCs</w:t>
      </w:r>
    </w:p>
    <w:p w14:paraId="7CC35CD4" w14:textId="7D10D65F" w:rsidR="00783DAE" w:rsidRDefault="00ED3E5E" w:rsidP="00A35131">
      <w:pPr>
        <w:jc w:val="both"/>
      </w:pPr>
      <w:r>
        <w:t>T</w:t>
      </w:r>
      <w:r w:rsidR="00E75182">
        <w:t xml:space="preserve">he working group progressed its </w:t>
      </w:r>
      <w:r w:rsidR="00A35131">
        <w:t>guidance document on C</w:t>
      </w:r>
      <w:r w:rsidR="00E75182">
        <w:t xml:space="preserve">riteria for the </w:t>
      </w:r>
      <w:r w:rsidR="00A35131">
        <w:t>Assessment of B</w:t>
      </w:r>
      <w:r w:rsidR="00E75182">
        <w:t xml:space="preserve">road </w:t>
      </w:r>
      <w:r w:rsidR="00A35131">
        <w:t>C</w:t>
      </w:r>
      <w:r w:rsidR="00E75182">
        <w:t>laim CMCs</w:t>
      </w:r>
      <w:r w:rsidR="00A35131">
        <w:t xml:space="preserve">. Tang Lin </w:t>
      </w:r>
      <w:proofErr w:type="spellStart"/>
      <w:r w:rsidR="00A35131">
        <w:t>Teo</w:t>
      </w:r>
      <w:proofErr w:type="spellEnd"/>
      <w:r w:rsidR="00A35131">
        <w:t xml:space="preserve"> from H</w:t>
      </w:r>
      <w:r>
        <w:t>SA</w:t>
      </w:r>
      <w:r w:rsidR="00A35131">
        <w:t xml:space="preserve">, the OAWG representative on the KCWG, has put considerable effort </w:t>
      </w:r>
      <w:r w:rsidR="00A35131">
        <w:lastRenderedPageBreak/>
        <w:t xml:space="preserve">into updating this document following </w:t>
      </w:r>
      <w:r>
        <w:t>feedback fro</w:t>
      </w:r>
      <w:r w:rsidR="00A35131">
        <w:t xml:space="preserve">m WG discussion sessions and from the 2019 and 2020 CMC cycles. We are seeing increasing numbers of organic broad scope CMCs being submitted. We are currently </w:t>
      </w:r>
      <w:r w:rsidR="00E75182">
        <w:t>awaiting feedback from the KCWG</w:t>
      </w:r>
      <w:r w:rsidR="00A35131">
        <w:t xml:space="preserve"> on the guidance document</w:t>
      </w:r>
      <w:r w:rsidR="00E75182">
        <w:t xml:space="preserve">. </w:t>
      </w:r>
    </w:p>
    <w:p w14:paraId="6DCD20F5" w14:textId="77777777" w:rsidR="00E75182" w:rsidRDefault="00E75182" w:rsidP="00E75182">
      <w:pPr>
        <w:spacing w:after="120"/>
        <w:rPr>
          <w:b/>
          <w:bCs/>
        </w:rPr>
      </w:pPr>
      <w:r>
        <w:rPr>
          <w:b/>
          <w:bCs/>
        </w:rPr>
        <w:t>5. Additional items from the working group meetings</w:t>
      </w:r>
    </w:p>
    <w:p w14:paraId="71763F3A" w14:textId="1BA513DE" w:rsidR="00E75182" w:rsidRDefault="00E75182" w:rsidP="00E75182">
      <w:pPr>
        <w:spacing w:after="120"/>
      </w:pPr>
      <w:r w:rsidRPr="00652061">
        <w:t xml:space="preserve">In February 2020 the OAWG </w:t>
      </w:r>
      <w:r w:rsidR="00652061">
        <w:t xml:space="preserve">Vice-Chair Katrice Lippa </w:t>
      </w:r>
      <w:r w:rsidRPr="00652061">
        <w:t>co-</w:t>
      </w:r>
      <w:r w:rsidR="00652061" w:rsidRPr="00652061">
        <w:t>ordinated</w:t>
      </w:r>
      <w:r w:rsidRPr="00652061">
        <w:t xml:space="preserve"> a survey to </w:t>
      </w:r>
      <w:r w:rsidR="009834BB">
        <w:t>examine</w:t>
      </w:r>
      <w:r w:rsidRPr="00652061">
        <w:t xml:space="preserve"> working group member priorities</w:t>
      </w:r>
      <w:r w:rsidR="00652061">
        <w:t xml:space="preserve"> with respect to institutional programs, </w:t>
      </w:r>
      <w:r w:rsidR="009834BB">
        <w:t>CMCs, and</w:t>
      </w:r>
      <w:r w:rsidR="009834BB" w:rsidRPr="00652061">
        <w:t xml:space="preserve"> </w:t>
      </w:r>
      <w:r w:rsidRPr="00652061">
        <w:t>futu</w:t>
      </w:r>
      <w:r w:rsidR="00652061">
        <w:t>r</w:t>
      </w:r>
      <w:r w:rsidRPr="00652061">
        <w:t>e key comparison</w:t>
      </w:r>
      <w:r w:rsidR="00652061">
        <w:t>s,</w:t>
      </w:r>
      <w:r w:rsidR="00F8651C">
        <w:t xml:space="preserve"> </w:t>
      </w:r>
      <w:r w:rsidR="00652061">
        <w:t xml:space="preserve">engagement and technical </w:t>
      </w:r>
      <w:r w:rsidR="008D6329">
        <w:t xml:space="preserve">workshops. The survey covered a very broad range of aspects within these areas and was aimed at feeding into the OAWG 2021-2030 strategy document. The OAWG had three dedicated VCs </w:t>
      </w:r>
      <w:r w:rsidR="0095597A">
        <w:t xml:space="preserve">in the first half of July 2020 </w:t>
      </w:r>
      <w:r w:rsidR="008D6329">
        <w:t>presenting the results of the survey to the WG</w:t>
      </w:r>
      <w:r w:rsidR="009967CB">
        <w:t xml:space="preserve"> and </w:t>
      </w:r>
      <w:r w:rsidR="008D6329">
        <w:t>discussing the outcomes</w:t>
      </w:r>
      <w:r w:rsidR="009967CB">
        <w:t xml:space="preserve">. A focus of the final VC was on the </w:t>
      </w:r>
      <w:r w:rsidR="008D6329">
        <w:t xml:space="preserve">translation of this information into the WG strategy document. </w:t>
      </w:r>
    </w:p>
    <w:p w14:paraId="60648762" w14:textId="77777777" w:rsidR="008D6329" w:rsidRDefault="008D6329" w:rsidP="00E75182">
      <w:pPr>
        <w:spacing w:after="120"/>
      </w:pPr>
      <w:r>
        <w:t xml:space="preserve">Two snapshots of results from the survey are below.  </w:t>
      </w:r>
    </w:p>
    <w:p w14:paraId="0BAAA96D" w14:textId="77777777" w:rsidR="00652061" w:rsidRDefault="00652061" w:rsidP="00FE5AA0">
      <w:pPr>
        <w:spacing w:after="0"/>
      </w:pPr>
      <w:r>
        <w:rPr>
          <w:noProof/>
          <w:lang w:val="en-AU" w:eastAsia="en-AU"/>
        </w:rPr>
        <w:drawing>
          <wp:inline distT="0" distB="0" distL="0" distR="0" wp14:anchorId="031375B6" wp14:editId="661F5A25">
            <wp:extent cx="5477256" cy="2313432"/>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7256" cy="2313432"/>
                    </a:xfrm>
                    <a:prstGeom prst="rect">
                      <a:avLst/>
                    </a:prstGeom>
                    <a:noFill/>
                  </pic:spPr>
                </pic:pic>
              </a:graphicData>
            </a:graphic>
          </wp:inline>
        </w:drawing>
      </w:r>
    </w:p>
    <w:p w14:paraId="00AD57FD" w14:textId="6B0CE983" w:rsidR="00652061" w:rsidRDefault="008D6329" w:rsidP="00FE5AA0">
      <w:pPr>
        <w:tabs>
          <w:tab w:val="left" w:pos="1890"/>
        </w:tabs>
      </w:pPr>
      <w:r w:rsidRPr="00DD7BB1">
        <w:rPr>
          <w:b/>
          <w:bCs/>
          <w:sz w:val="18"/>
          <w:szCs w:val="18"/>
        </w:rPr>
        <w:t xml:space="preserve">Figure </w:t>
      </w:r>
      <w:r w:rsidR="005C49BB">
        <w:rPr>
          <w:b/>
          <w:bCs/>
          <w:sz w:val="18"/>
          <w:szCs w:val="18"/>
        </w:rPr>
        <w:t>2</w:t>
      </w:r>
      <w:r w:rsidR="005C49BB" w:rsidRPr="00DD7BB1">
        <w:rPr>
          <w:sz w:val="18"/>
          <w:szCs w:val="18"/>
        </w:rPr>
        <w:t xml:space="preserve"> </w:t>
      </w:r>
      <w:r>
        <w:rPr>
          <w:sz w:val="18"/>
          <w:szCs w:val="18"/>
          <w:lang w:val="en-US"/>
        </w:rPr>
        <w:t>Ranking of in</w:t>
      </w:r>
      <w:r w:rsidRPr="008D6329">
        <w:rPr>
          <w:sz w:val="18"/>
          <w:szCs w:val="18"/>
          <w:lang w:val="en-US"/>
        </w:rPr>
        <w:t>stitute’s interest for both INTEREST AREAS and TYPES OF SERVICES related to the OAWG</w:t>
      </w:r>
      <w:r w:rsidRPr="008857B7">
        <w:rPr>
          <w:sz w:val="20"/>
          <w:szCs w:val="20"/>
        </w:rPr>
        <w:t>.</w:t>
      </w:r>
      <w:r w:rsidRPr="00D563F5">
        <w:t xml:space="preserve"> </w:t>
      </w:r>
    </w:p>
    <w:p w14:paraId="15152296" w14:textId="77777777" w:rsidR="00652061" w:rsidRPr="00652061" w:rsidRDefault="00652061" w:rsidP="00E75182">
      <w:pPr>
        <w:spacing w:after="120"/>
      </w:pPr>
      <w:r>
        <w:rPr>
          <w:noProof/>
          <w:lang w:val="en-AU" w:eastAsia="en-AU"/>
        </w:rPr>
        <w:drawing>
          <wp:inline distT="0" distB="0" distL="0" distR="0" wp14:anchorId="7741ADAE" wp14:editId="5BD21961">
            <wp:extent cx="5193792" cy="1764792"/>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3792" cy="1764792"/>
                    </a:xfrm>
                    <a:prstGeom prst="rect">
                      <a:avLst/>
                    </a:prstGeom>
                    <a:noFill/>
                  </pic:spPr>
                </pic:pic>
              </a:graphicData>
            </a:graphic>
          </wp:inline>
        </w:drawing>
      </w:r>
    </w:p>
    <w:p w14:paraId="34F196EC" w14:textId="36145989" w:rsidR="00E75182" w:rsidRDefault="008D6329" w:rsidP="00FE5AA0">
      <w:pPr>
        <w:tabs>
          <w:tab w:val="left" w:pos="1890"/>
        </w:tabs>
        <w:spacing w:line="240" w:lineRule="auto"/>
      </w:pPr>
      <w:r w:rsidRPr="00DD7BB1">
        <w:rPr>
          <w:b/>
          <w:bCs/>
          <w:sz w:val="18"/>
          <w:szCs w:val="18"/>
        </w:rPr>
        <w:t xml:space="preserve">Figure </w:t>
      </w:r>
      <w:r w:rsidR="005C49BB">
        <w:rPr>
          <w:b/>
          <w:bCs/>
          <w:sz w:val="18"/>
          <w:szCs w:val="18"/>
        </w:rPr>
        <w:t xml:space="preserve">3 </w:t>
      </w:r>
      <w:r w:rsidR="00652061" w:rsidRPr="008D6329">
        <w:rPr>
          <w:sz w:val="18"/>
        </w:rPr>
        <w:t>Ranking of</w:t>
      </w:r>
      <w:r w:rsidR="00652061" w:rsidRPr="008D6329">
        <w:rPr>
          <w:sz w:val="18"/>
          <w:lang w:val="en-US"/>
        </w:rPr>
        <w:t xml:space="preserve"> institute's interest in the general objectives of the CCQM and the benefits of your institute’s participation in the OAWG. </w:t>
      </w:r>
    </w:p>
    <w:p w14:paraId="3337BEA4" w14:textId="77777777" w:rsidR="00060C1A" w:rsidRPr="00060C1A" w:rsidRDefault="00BA4604" w:rsidP="00060C1A">
      <w:pPr>
        <w:jc w:val="right"/>
        <w:rPr>
          <w:b/>
          <w:bCs/>
        </w:rPr>
      </w:pPr>
      <w:r>
        <w:rPr>
          <w:b/>
          <w:bCs/>
        </w:rPr>
        <w:t xml:space="preserve">Lindsey Mackay and Katrice Lippa </w:t>
      </w:r>
      <w:r w:rsidR="00AB5C98">
        <w:rPr>
          <w:b/>
          <w:bCs/>
        </w:rPr>
        <w:t>July 2020</w:t>
      </w:r>
    </w:p>
    <w:sectPr w:rsidR="00060C1A" w:rsidRPr="00060C1A">
      <w:head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C41AD7" w16cid:durableId="22A598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88FB1" w14:textId="77777777" w:rsidR="00680D9C" w:rsidRDefault="00680D9C" w:rsidP="005A53D0">
      <w:pPr>
        <w:spacing w:after="0" w:line="240" w:lineRule="auto"/>
      </w:pPr>
      <w:r>
        <w:separator/>
      </w:r>
    </w:p>
  </w:endnote>
  <w:endnote w:type="continuationSeparator" w:id="0">
    <w:p w14:paraId="2B4E395F" w14:textId="77777777" w:rsidR="00680D9C" w:rsidRDefault="00680D9C" w:rsidP="005A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F04D9" w14:textId="77777777" w:rsidR="00680D9C" w:rsidRDefault="00680D9C" w:rsidP="005A53D0">
      <w:pPr>
        <w:spacing w:after="0" w:line="240" w:lineRule="auto"/>
      </w:pPr>
      <w:r>
        <w:separator/>
      </w:r>
    </w:p>
  </w:footnote>
  <w:footnote w:type="continuationSeparator" w:id="0">
    <w:p w14:paraId="1FF8E975" w14:textId="77777777" w:rsidR="00680D9C" w:rsidRDefault="00680D9C" w:rsidP="005A5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6384" w14:textId="77777777" w:rsidR="005A53D0" w:rsidRPr="005635B2" w:rsidRDefault="005635B2" w:rsidP="005635B2">
    <w:pPr>
      <w:pStyle w:val="Header"/>
      <w:jc w:val="right"/>
    </w:pPr>
    <w:r w:rsidRPr="005635B2">
      <w:rPr>
        <w:noProof/>
        <w:lang w:val="en-AU" w:eastAsia="en-AU"/>
      </w:rPr>
      <mc:AlternateContent>
        <mc:Choice Requires="wps">
          <w:drawing>
            <wp:anchor distT="0" distB="0" distL="114300" distR="114300" simplePos="0" relativeHeight="251659264" behindDoc="0" locked="0" layoutInCell="1" allowOverlap="1" wp14:anchorId="2525252B" wp14:editId="1D0FA41C">
              <wp:simplePos x="0" y="0"/>
              <wp:positionH relativeFrom="column">
                <wp:posOffset>-57150</wp:posOffset>
              </wp:positionH>
              <wp:positionV relativeFrom="paragraph">
                <wp:posOffset>-79375</wp:posOffset>
              </wp:positionV>
              <wp:extent cx="3837845" cy="369332"/>
              <wp:effectExtent l="0" t="0" r="0" b="0"/>
              <wp:wrapNone/>
              <wp:docPr id="4" name="TextBox 3">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E2FF3A7-062B-463B-843F-2AFD4DF2DC31}"/>
                  </a:ext>
                </a:extLst>
              </wp:docPr>
              <wp:cNvGraphicFramePr/>
              <a:graphic xmlns:a="http://schemas.openxmlformats.org/drawingml/2006/main">
                <a:graphicData uri="http://schemas.microsoft.com/office/word/2010/wordprocessingShape">
                  <wps:wsp>
                    <wps:cNvSpPr txBox="1"/>
                    <wps:spPr>
                      <a:xfrm>
                        <a:off x="0" y="0"/>
                        <a:ext cx="3837845" cy="369332"/>
                      </a:xfrm>
                      <a:prstGeom prst="rect">
                        <a:avLst/>
                      </a:prstGeom>
                      <a:noFill/>
                    </wps:spPr>
                    <wps:txbx>
                      <w:txbxContent>
                        <w:p w14:paraId="60184801" w14:textId="77777777" w:rsidR="005635B2" w:rsidRPr="007D02F9" w:rsidRDefault="005635B2" w:rsidP="005635B2">
                          <w:pPr>
                            <w:pStyle w:val="NormalWeb"/>
                            <w:spacing w:before="0" w:beforeAutospacing="0" w:after="0" w:afterAutospacing="0"/>
                            <w:rPr>
                              <w:sz w:val="20"/>
                            </w:rPr>
                          </w:pPr>
                          <w:r w:rsidRPr="007D02F9">
                            <w:rPr>
                              <w:rFonts w:asciiTheme="minorHAnsi" w:hAnsi="Calibri" w:cstheme="minorBidi"/>
                              <w:b/>
                              <w:bCs/>
                              <w:color w:val="1F4E79" w:themeColor="accent5" w:themeShade="80"/>
                              <w:kern w:val="24"/>
                              <w:sz w:val="28"/>
                              <w:szCs w:val="36"/>
                            </w:rPr>
                            <w:t>ORGANIC ANALYSIS WORKING GROUP</w:t>
                          </w:r>
                        </w:p>
                      </w:txbxContent>
                    </wps:txbx>
                    <wps:bodyPr wrap="none" rtlCol="0">
                      <a:sp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1F36B24" id="_x0000_t202" coordsize="21600,21600" o:spt="202" path="m,l,21600r21600,l21600,xe">
              <v:stroke joinstyle="miter"/>
              <v:path gradientshapeok="t" o:connecttype="rect"/>
            </v:shapetype>
            <v:shape id="TextBox 3" o:spid="_x0000_s1026" type="#_x0000_t202" style="position:absolute;left:0;text-align:left;margin-left:-4.5pt;margin-top:-6.25pt;width:302.2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" filled="f" stroked="f">
              <v:textbox style="mso-fit-shape-to-text:t">
                <w:txbxContent>
                  <w:p w:rsidR="005635B2" w:rsidRPr="007D02F9" w:rsidRDefault="005635B2" w:rsidP="005635B2">
                    <w:pPr>
                      <w:pStyle w:val="NormalWeb"/>
                      <w:spacing w:before="0" w:beforeAutospacing="0" w:after="0" w:afterAutospacing="0"/>
                      <w:rPr>
                        <w:sz w:val="20"/>
                      </w:rPr>
                    </w:pPr>
                    <w:r w:rsidRPr="007D02F9">
                      <w:rPr>
                        <w:rFonts w:asciiTheme="minorHAnsi" w:hAnsi="Calibri" w:cstheme="minorBidi"/>
                        <w:b/>
                        <w:bCs/>
                        <w:color w:val="1F4E79" w:themeColor="accent5" w:themeShade="80"/>
                        <w:kern w:val="24"/>
                        <w:sz w:val="28"/>
                        <w:szCs w:val="36"/>
                      </w:rPr>
                      <w:t>ORGANIC ANALYSIS WORKING GROUP</w:t>
                    </w:r>
                  </w:p>
                </w:txbxContent>
              </v:textbox>
            </v:shape>
          </w:pict>
        </mc:Fallback>
      </mc:AlternateContent>
    </w:r>
    <w:r w:rsidRPr="005635B2">
      <w:rPr>
        <w:noProof/>
        <w:lang w:val="en-AU" w:eastAsia="en-AU"/>
      </w:rPr>
      <w:drawing>
        <wp:inline distT="0" distB="0" distL="0" distR="0" wp14:anchorId="7C179691" wp14:editId="2FF8350F">
          <wp:extent cx="1467502" cy="310515"/>
          <wp:effectExtent l="0" t="0" r="0" b="0"/>
          <wp:docPr id="5" name="Picture 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52886B8-0DA6-43E7-8C86-F3B20D6DAC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52886B8-0DA6-43E7-8C86-F3B20D6DACC7}"/>
                      </a:ext>
                    </a:extLst>
                  </pic:cNvPr>
                  <pic:cNvPicPr>
                    <a:picLocks noChangeAspect="1"/>
                  </pic:cNvPicPr>
                </pic:nvPicPr>
                <pic:blipFill>
                  <a:blip r:embed="rId1"/>
                  <a:stretch>
                    <a:fillRect/>
                  </a:stretch>
                </pic:blipFill>
                <pic:spPr>
                  <a:xfrm>
                    <a:off x="0" y="0"/>
                    <a:ext cx="1512578" cy="32005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ECE"/>
    <w:multiLevelType w:val="hybridMultilevel"/>
    <w:tmpl w:val="C7A0FAB0"/>
    <w:lvl w:ilvl="0" w:tplc="E9A0371C">
      <w:start w:val="1"/>
      <w:numFmt w:val="bullet"/>
      <w:lvlText w:val=""/>
      <w:lvlJc w:val="left"/>
      <w:pPr>
        <w:tabs>
          <w:tab w:val="num" w:pos="360"/>
        </w:tabs>
        <w:ind w:left="360" w:hanging="360"/>
      </w:pPr>
      <w:rPr>
        <w:rFonts w:ascii="Symbol" w:hAnsi="Symbol" w:hint="default"/>
        <w:color w:val="000080"/>
        <w:sz w:val="24"/>
      </w:rPr>
    </w:lvl>
    <w:lvl w:ilvl="1" w:tplc="48F65206">
      <w:start w:val="165"/>
      <w:numFmt w:val="bullet"/>
      <w:lvlText w:val="–"/>
      <w:lvlJc w:val="left"/>
      <w:pPr>
        <w:ind w:left="1080" w:hanging="360"/>
      </w:pPr>
      <w:rPr>
        <w:rFonts w:ascii="Times New Roman" w:hAnsi="Times New Roman" w:hint="default"/>
      </w:rPr>
    </w:lvl>
    <w:lvl w:ilvl="2" w:tplc="04090003">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0159B3"/>
    <w:multiLevelType w:val="hybridMultilevel"/>
    <w:tmpl w:val="A4FE4E4E"/>
    <w:lvl w:ilvl="0" w:tplc="E9A0371C">
      <w:start w:val="1"/>
      <w:numFmt w:val="bullet"/>
      <w:lvlText w:val=""/>
      <w:lvlJc w:val="left"/>
      <w:pPr>
        <w:tabs>
          <w:tab w:val="num" w:pos="720"/>
        </w:tabs>
        <w:ind w:left="720" w:hanging="360"/>
      </w:pPr>
      <w:rPr>
        <w:rFonts w:ascii="Symbol" w:hAnsi="Symbol" w:hint="default"/>
        <w:color w:val="000080"/>
        <w:sz w:val="24"/>
      </w:rPr>
    </w:lvl>
    <w:lvl w:ilvl="1" w:tplc="48F65206">
      <w:start w:val="165"/>
      <w:numFmt w:val="bullet"/>
      <w:lvlText w:val="–"/>
      <w:lvlJc w:val="left"/>
      <w:pPr>
        <w:ind w:left="1080" w:hanging="360"/>
      </w:pPr>
      <w:rPr>
        <w:rFonts w:ascii="Times New Roman" w:hAnsi="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6C4FFF"/>
    <w:multiLevelType w:val="hybridMultilevel"/>
    <w:tmpl w:val="6CA220FA"/>
    <w:lvl w:ilvl="0" w:tplc="69DCB960">
      <w:start w:val="1"/>
      <w:numFmt w:val="bullet"/>
      <w:lvlText w:val="•"/>
      <w:lvlJc w:val="left"/>
      <w:pPr>
        <w:tabs>
          <w:tab w:val="num" w:pos="720"/>
        </w:tabs>
        <w:ind w:left="720" w:hanging="360"/>
      </w:pPr>
      <w:rPr>
        <w:rFonts w:ascii="Arial" w:hAnsi="Arial" w:hint="default"/>
      </w:rPr>
    </w:lvl>
    <w:lvl w:ilvl="1" w:tplc="0F1625B2">
      <w:start w:val="1"/>
      <w:numFmt w:val="bullet"/>
      <w:lvlText w:val="•"/>
      <w:lvlJc w:val="left"/>
      <w:pPr>
        <w:tabs>
          <w:tab w:val="num" w:pos="1440"/>
        </w:tabs>
        <w:ind w:left="1440" w:hanging="360"/>
      </w:pPr>
      <w:rPr>
        <w:rFonts w:ascii="Arial" w:hAnsi="Arial" w:hint="default"/>
      </w:rPr>
    </w:lvl>
    <w:lvl w:ilvl="2" w:tplc="7640F1F0" w:tentative="1">
      <w:start w:val="1"/>
      <w:numFmt w:val="bullet"/>
      <w:lvlText w:val="•"/>
      <w:lvlJc w:val="left"/>
      <w:pPr>
        <w:tabs>
          <w:tab w:val="num" w:pos="2160"/>
        </w:tabs>
        <w:ind w:left="2160" w:hanging="360"/>
      </w:pPr>
      <w:rPr>
        <w:rFonts w:ascii="Arial" w:hAnsi="Arial" w:hint="default"/>
      </w:rPr>
    </w:lvl>
    <w:lvl w:ilvl="3" w:tplc="358A5CAA" w:tentative="1">
      <w:start w:val="1"/>
      <w:numFmt w:val="bullet"/>
      <w:lvlText w:val="•"/>
      <w:lvlJc w:val="left"/>
      <w:pPr>
        <w:tabs>
          <w:tab w:val="num" w:pos="2880"/>
        </w:tabs>
        <w:ind w:left="2880" w:hanging="360"/>
      </w:pPr>
      <w:rPr>
        <w:rFonts w:ascii="Arial" w:hAnsi="Arial" w:hint="default"/>
      </w:rPr>
    </w:lvl>
    <w:lvl w:ilvl="4" w:tplc="63E00F7E" w:tentative="1">
      <w:start w:val="1"/>
      <w:numFmt w:val="bullet"/>
      <w:lvlText w:val="•"/>
      <w:lvlJc w:val="left"/>
      <w:pPr>
        <w:tabs>
          <w:tab w:val="num" w:pos="3600"/>
        </w:tabs>
        <w:ind w:left="3600" w:hanging="360"/>
      </w:pPr>
      <w:rPr>
        <w:rFonts w:ascii="Arial" w:hAnsi="Arial" w:hint="default"/>
      </w:rPr>
    </w:lvl>
    <w:lvl w:ilvl="5" w:tplc="997CD05C" w:tentative="1">
      <w:start w:val="1"/>
      <w:numFmt w:val="bullet"/>
      <w:lvlText w:val="•"/>
      <w:lvlJc w:val="left"/>
      <w:pPr>
        <w:tabs>
          <w:tab w:val="num" w:pos="4320"/>
        </w:tabs>
        <w:ind w:left="4320" w:hanging="360"/>
      </w:pPr>
      <w:rPr>
        <w:rFonts w:ascii="Arial" w:hAnsi="Arial" w:hint="default"/>
      </w:rPr>
    </w:lvl>
    <w:lvl w:ilvl="6" w:tplc="D0E8E43A" w:tentative="1">
      <w:start w:val="1"/>
      <w:numFmt w:val="bullet"/>
      <w:lvlText w:val="•"/>
      <w:lvlJc w:val="left"/>
      <w:pPr>
        <w:tabs>
          <w:tab w:val="num" w:pos="5040"/>
        </w:tabs>
        <w:ind w:left="5040" w:hanging="360"/>
      </w:pPr>
      <w:rPr>
        <w:rFonts w:ascii="Arial" w:hAnsi="Arial" w:hint="default"/>
      </w:rPr>
    </w:lvl>
    <w:lvl w:ilvl="7" w:tplc="4A029ACC" w:tentative="1">
      <w:start w:val="1"/>
      <w:numFmt w:val="bullet"/>
      <w:lvlText w:val="•"/>
      <w:lvlJc w:val="left"/>
      <w:pPr>
        <w:tabs>
          <w:tab w:val="num" w:pos="5760"/>
        </w:tabs>
        <w:ind w:left="5760" w:hanging="360"/>
      </w:pPr>
      <w:rPr>
        <w:rFonts w:ascii="Arial" w:hAnsi="Arial" w:hint="default"/>
      </w:rPr>
    </w:lvl>
    <w:lvl w:ilvl="8" w:tplc="FF5AE6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A296749"/>
    <w:multiLevelType w:val="hybridMultilevel"/>
    <w:tmpl w:val="ED406B6A"/>
    <w:lvl w:ilvl="0" w:tplc="F25682D6">
      <w:start w:val="1"/>
      <w:numFmt w:val="bullet"/>
      <w:lvlText w:val=""/>
      <w:lvlJc w:val="left"/>
      <w:pPr>
        <w:ind w:left="720" w:hanging="360"/>
      </w:pPr>
      <w:rPr>
        <w:rFonts w:ascii="Symbol" w:hAnsi="Symbol" w:hint="default"/>
        <w:color w:val="00008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0D"/>
    <w:rsid w:val="0004028C"/>
    <w:rsid w:val="0004579C"/>
    <w:rsid w:val="00060C1A"/>
    <w:rsid w:val="000B7006"/>
    <w:rsid w:val="000C763B"/>
    <w:rsid w:val="000E5DD0"/>
    <w:rsid w:val="000E5E86"/>
    <w:rsid w:val="000F10C5"/>
    <w:rsid w:val="000F27A7"/>
    <w:rsid w:val="000F71C8"/>
    <w:rsid w:val="0010339E"/>
    <w:rsid w:val="001144D5"/>
    <w:rsid w:val="0012106A"/>
    <w:rsid w:val="00131B08"/>
    <w:rsid w:val="001825AB"/>
    <w:rsid w:val="001A0D35"/>
    <w:rsid w:val="001B2BBD"/>
    <w:rsid w:val="001E3A4A"/>
    <w:rsid w:val="001E5120"/>
    <w:rsid w:val="001F0CA7"/>
    <w:rsid w:val="00215994"/>
    <w:rsid w:val="00241AD9"/>
    <w:rsid w:val="00264CC7"/>
    <w:rsid w:val="00272864"/>
    <w:rsid w:val="00281796"/>
    <w:rsid w:val="002B60AD"/>
    <w:rsid w:val="002C05DB"/>
    <w:rsid w:val="00306108"/>
    <w:rsid w:val="00363340"/>
    <w:rsid w:val="00397C0D"/>
    <w:rsid w:val="003A25E5"/>
    <w:rsid w:val="003A4410"/>
    <w:rsid w:val="004018D6"/>
    <w:rsid w:val="00406903"/>
    <w:rsid w:val="00440E49"/>
    <w:rsid w:val="0047607E"/>
    <w:rsid w:val="00495BF9"/>
    <w:rsid w:val="004B351C"/>
    <w:rsid w:val="004B4BB5"/>
    <w:rsid w:val="004C297E"/>
    <w:rsid w:val="005202AD"/>
    <w:rsid w:val="00535D12"/>
    <w:rsid w:val="00560B88"/>
    <w:rsid w:val="00560EB4"/>
    <w:rsid w:val="005635B2"/>
    <w:rsid w:val="00581044"/>
    <w:rsid w:val="005A11D8"/>
    <w:rsid w:val="005A53D0"/>
    <w:rsid w:val="005B1EAE"/>
    <w:rsid w:val="005C49BB"/>
    <w:rsid w:val="005C77AD"/>
    <w:rsid w:val="00604FEE"/>
    <w:rsid w:val="00637FEF"/>
    <w:rsid w:val="00652022"/>
    <w:rsid w:val="00652061"/>
    <w:rsid w:val="006752C1"/>
    <w:rsid w:val="00680D9C"/>
    <w:rsid w:val="00692C08"/>
    <w:rsid w:val="00696270"/>
    <w:rsid w:val="00696E90"/>
    <w:rsid w:val="006B0545"/>
    <w:rsid w:val="006C05DB"/>
    <w:rsid w:val="006D10EC"/>
    <w:rsid w:val="006E0B96"/>
    <w:rsid w:val="006F7159"/>
    <w:rsid w:val="00720288"/>
    <w:rsid w:val="00783DAE"/>
    <w:rsid w:val="007A228D"/>
    <w:rsid w:val="007B75A8"/>
    <w:rsid w:val="007D02F9"/>
    <w:rsid w:val="0082601A"/>
    <w:rsid w:val="00841287"/>
    <w:rsid w:val="00852F43"/>
    <w:rsid w:val="00856C36"/>
    <w:rsid w:val="00867E0D"/>
    <w:rsid w:val="00871F5A"/>
    <w:rsid w:val="00884559"/>
    <w:rsid w:val="008A355A"/>
    <w:rsid w:val="008B74AD"/>
    <w:rsid w:val="008D6329"/>
    <w:rsid w:val="008E1DF5"/>
    <w:rsid w:val="008E27FC"/>
    <w:rsid w:val="00924BF3"/>
    <w:rsid w:val="00950B01"/>
    <w:rsid w:val="009544A6"/>
    <w:rsid w:val="0095597A"/>
    <w:rsid w:val="009834BB"/>
    <w:rsid w:val="009967CB"/>
    <w:rsid w:val="009A535E"/>
    <w:rsid w:val="009C57BD"/>
    <w:rsid w:val="009D0072"/>
    <w:rsid w:val="009E77E4"/>
    <w:rsid w:val="00A24037"/>
    <w:rsid w:val="00A35131"/>
    <w:rsid w:val="00A500C5"/>
    <w:rsid w:val="00AB5C98"/>
    <w:rsid w:val="00AD5B8C"/>
    <w:rsid w:val="00AE134A"/>
    <w:rsid w:val="00AF5C53"/>
    <w:rsid w:val="00B15A98"/>
    <w:rsid w:val="00B64EDC"/>
    <w:rsid w:val="00B9247E"/>
    <w:rsid w:val="00B9585A"/>
    <w:rsid w:val="00BA4604"/>
    <w:rsid w:val="00BC2A1E"/>
    <w:rsid w:val="00BC311D"/>
    <w:rsid w:val="00C02053"/>
    <w:rsid w:val="00CB1A08"/>
    <w:rsid w:val="00CE7E41"/>
    <w:rsid w:val="00D332BC"/>
    <w:rsid w:val="00D46DDD"/>
    <w:rsid w:val="00D72EA2"/>
    <w:rsid w:val="00D851FE"/>
    <w:rsid w:val="00D92E2F"/>
    <w:rsid w:val="00DC6290"/>
    <w:rsid w:val="00DD7BB1"/>
    <w:rsid w:val="00DF5921"/>
    <w:rsid w:val="00DF7A19"/>
    <w:rsid w:val="00E75182"/>
    <w:rsid w:val="00E77F4D"/>
    <w:rsid w:val="00EA5CE8"/>
    <w:rsid w:val="00EB6153"/>
    <w:rsid w:val="00ED3E5E"/>
    <w:rsid w:val="00F03E7C"/>
    <w:rsid w:val="00F20B02"/>
    <w:rsid w:val="00F30AE2"/>
    <w:rsid w:val="00F30F2C"/>
    <w:rsid w:val="00F67E78"/>
    <w:rsid w:val="00F741C0"/>
    <w:rsid w:val="00F84C77"/>
    <w:rsid w:val="00F8651C"/>
    <w:rsid w:val="00FC2080"/>
    <w:rsid w:val="00FE4DCE"/>
    <w:rsid w:val="00FE5AA0"/>
    <w:rsid w:val="00FF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C8513"/>
  <w15:chartTrackingRefBased/>
  <w15:docId w15:val="{53564C16-0D3C-4304-A073-7DC9CAC6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D0"/>
  </w:style>
  <w:style w:type="paragraph" w:styleId="Footer">
    <w:name w:val="footer"/>
    <w:basedOn w:val="Normal"/>
    <w:link w:val="FooterChar"/>
    <w:uiPriority w:val="99"/>
    <w:unhideWhenUsed/>
    <w:rsid w:val="005A5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D0"/>
  </w:style>
  <w:style w:type="paragraph" w:styleId="ListParagraph">
    <w:name w:val="List Paragraph"/>
    <w:basedOn w:val="Normal"/>
    <w:uiPriority w:val="34"/>
    <w:qFormat/>
    <w:rsid w:val="00783DAE"/>
    <w:pPr>
      <w:ind w:left="720"/>
      <w:contextualSpacing/>
    </w:pPr>
  </w:style>
  <w:style w:type="paragraph" w:styleId="NormalWeb">
    <w:name w:val="Normal (Web)"/>
    <w:basedOn w:val="Normal"/>
    <w:uiPriority w:val="99"/>
    <w:semiHidden/>
    <w:unhideWhenUsed/>
    <w:rsid w:val="005635B2"/>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CommentReference">
    <w:name w:val="annotation reference"/>
    <w:basedOn w:val="DefaultParagraphFont"/>
    <w:uiPriority w:val="99"/>
    <w:semiHidden/>
    <w:unhideWhenUsed/>
    <w:rsid w:val="009834BB"/>
    <w:rPr>
      <w:sz w:val="16"/>
      <w:szCs w:val="16"/>
    </w:rPr>
  </w:style>
  <w:style w:type="paragraph" w:styleId="CommentText">
    <w:name w:val="annotation text"/>
    <w:basedOn w:val="Normal"/>
    <w:link w:val="CommentTextChar"/>
    <w:uiPriority w:val="99"/>
    <w:semiHidden/>
    <w:unhideWhenUsed/>
    <w:rsid w:val="009834BB"/>
    <w:pPr>
      <w:spacing w:line="240" w:lineRule="auto"/>
    </w:pPr>
    <w:rPr>
      <w:sz w:val="20"/>
      <w:szCs w:val="20"/>
    </w:rPr>
  </w:style>
  <w:style w:type="character" w:customStyle="1" w:styleId="CommentTextChar">
    <w:name w:val="Comment Text Char"/>
    <w:basedOn w:val="DefaultParagraphFont"/>
    <w:link w:val="CommentText"/>
    <w:uiPriority w:val="99"/>
    <w:semiHidden/>
    <w:rsid w:val="009834BB"/>
    <w:rPr>
      <w:sz w:val="20"/>
      <w:szCs w:val="20"/>
    </w:rPr>
  </w:style>
  <w:style w:type="paragraph" w:styleId="CommentSubject">
    <w:name w:val="annotation subject"/>
    <w:basedOn w:val="CommentText"/>
    <w:next w:val="CommentText"/>
    <w:link w:val="CommentSubjectChar"/>
    <w:uiPriority w:val="99"/>
    <w:semiHidden/>
    <w:unhideWhenUsed/>
    <w:rsid w:val="009834BB"/>
    <w:rPr>
      <w:b/>
      <w:bCs/>
    </w:rPr>
  </w:style>
  <w:style w:type="character" w:customStyle="1" w:styleId="CommentSubjectChar">
    <w:name w:val="Comment Subject Char"/>
    <w:basedOn w:val="CommentTextChar"/>
    <w:link w:val="CommentSubject"/>
    <w:uiPriority w:val="99"/>
    <w:semiHidden/>
    <w:rsid w:val="009834BB"/>
    <w:rPr>
      <w:b/>
      <w:bCs/>
      <w:sz w:val="20"/>
      <w:szCs w:val="20"/>
    </w:rPr>
  </w:style>
  <w:style w:type="paragraph" w:styleId="BalloonText">
    <w:name w:val="Balloon Text"/>
    <w:basedOn w:val="Normal"/>
    <w:link w:val="BalloonTextChar"/>
    <w:uiPriority w:val="99"/>
    <w:semiHidden/>
    <w:unhideWhenUsed/>
    <w:rsid w:val="00983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08772">
      <w:bodyDiv w:val="1"/>
      <w:marLeft w:val="0"/>
      <w:marRight w:val="0"/>
      <w:marTop w:val="0"/>
      <w:marBottom w:val="0"/>
      <w:divBdr>
        <w:top w:val="none" w:sz="0" w:space="0" w:color="auto"/>
        <w:left w:val="none" w:sz="0" w:space="0" w:color="auto"/>
        <w:bottom w:val="none" w:sz="0" w:space="0" w:color="auto"/>
        <w:right w:val="none" w:sz="0" w:space="0" w:color="auto"/>
      </w:divBdr>
    </w:div>
    <w:div w:id="434403841">
      <w:bodyDiv w:val="1"/>
      <w:marLeft w:val="0"/>
      <w:marRight w:val="0"/>
      <w:marTop w:val="0"/>
      <w:marBottom w:val="0"/>
      <w:divBdr>
        <w:top w:val="none" w:sz="0" w:space="0" w:color="auto"/>
        <w:left w:val="none" w:sz="0" w:space="0" w:color="auto"/>
        <w:bottom w:val="none" w:sz="0" w:space="0" w:color="auto"/>
        <w:right w:val="none" w:sz="0" w:space="0" w:color="auto"/>
      </w:divBdr>
    </w:div>
    <w:div w:id="652216335">
      <w:bodyDiv w:val="1"/>
      <w:marLeft w:val="0"/>
      <w:marRight w:val="0"/>
      <w:marTop w:val="0"/>
      <w:marBottom w:val="0"/>
      <w:divBdr>
        <w:top w:val="none" w:sz="0" w:space="0" w:color="auto"/>
        <w:left w:val="none" w:sz="0" w:space="0" w:color="auto"/>
        <w:bottom w:val="none" w:sz="0" w:space="0" w:color="auto"/>
        <w:right w:val="none" w:sz="0" w:space="0" w:color="auto"/>
      </w:divBdr>
      <w:divsChild>
        <w:div w:id="9600316">
          <w:marLeft w:val="1080"/>
          <w:marRight w:val="0"/>
          <w:marTop w:val="100"/>
          <w:marBottom w:val="0"/>
          <w:divBdr>
            <w:top w:val="none" w:sz="0" w:space="0" w:color="auto"/>
            <w:left w:val="none" w:sz="0" w:space="0" w:color="auto"/>
            <w:bottom w:val="none" w:sz="0" w:space="0" w:color="auto"/>
            <w:right w:val="none" w:sz="0" w:space="0" w:color="auto"/>
          </w:divBdr>
        </w:div>
      </w:divsChild>
    </w:div>
    <w:div w:id="182262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A5CC-D69B-44A7-98B0-E66FF426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Brewer</dc:creator>
  <cp:keywords/>
  <dc:description/>
  <cp:lastModifiedBy>Mackay, Lindsey</cp:lastModifiedBy>
  <cp:revision>3</cp:revision>
  <dcterms:created xsi:type="dcterms:W3CDTF">2020-07-01T10:28:00Z</dcterms:created>
  <dcterms:modified xsi:type="dcterms:W3CDTF">2020-07-01T10:40:00Z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ies>
</file>