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B98C7" w14:textId="0376E236" w:rsidR="00306108" w:rsidRDefault="00306108" w:rsidP="0016568C">
      <w:pPr>
        <w:spacing w:after="240" w:line="240" w:lineRule="auto"/>
        <w:jc w:val="center"/>
        <w:rPr>
          <w:b/>
          <w:bCs/>
          <w:sz w:val="28"/>
          <w:szCs w:val="28"/>
        </w:rPr>
      </w:pPr>
      <w:r w:rsidRPr="0016568C">
        <w:rPr>
          <w:b/>
          <w:bCs/>
          <w:sz w:val="28"/>
          <w:szCs w:val="28"/>
        </w:rPr>
        <w:t xml:space="preserve">Report from the CCQM </w:t>
      </w:r>
      <w:r w:rsidR="00347456" w:rsidRPr="0016568C">
        <w:rPr>
          <w:b/>
          <w:bCs/>
          <w:sz w:val="28"/>
          <w:szCs w:val="28"/>
        </w:rPr>
        <w:t>Inorganic</w:t>
      </w:r>
      <w:r w:rsidRPr="0016568C">
        <w:rPr>
          <w:b/>
          <w:bCs/>
          <w:sz w:val="28"/>
          <w:szCs w:val="28"/>
        </w:rPr>
        <w:t xml:space="preserve"> Analysis Working Group for the period </w:t>
      </w:r>
      <w:r w:rsidR="00DD14B5" w:rsidRPr="0016568C">
        <w:rPr>
          <w:b/>
          <w:bCs/>
          <w:sz w:val="28"/>
          <w:szCs w:val="28"/>
        </w:rPr>
        <w:t>(</w:t>
      </w:r>
      <w:r w:rsidRPr="0016568C">
        <w:rPr>
          <w:b/>
          <w:bCs/>
          <w:sz w:val="28"/>
          <w:szCs w:val="28"/>
        </w:rPr>
        <w:t xml:space="preserve">April 2019 – </w:t>
      </w:r>
      <w:r w:rsidR="00DD14B5" w:rsidRPr="0016568C">
        <w:rPr>
          <w:b/>
          <w:bCs/>
          <w:sz w:val="28"/>
          <w:szCs w:val="28"/>
        </w:rPr>
        <w:t>June</w:t>
      </w:r>
      <w:r w:rsidRPr="0016568C">
        <w:rPr>
          <w:b/>
          <w:bCs/>
          <w:sz w:val="28"/>
          <w:szCs w:val="28"/>
        </w:rPr>
        <w:t xml:space="preserve"> 2020)</w:t>
      </w:r>
    </w:p>
    <w:p w14:paraId="02D0F06A" w14:textId="1D895F04" w:rsidR="00764F4F" w:rsidRPr="0016568C" w:rsidRDefault="00764F4F" w:rsidP="0016568C">
      <w:pPr>
        <w:spacing w:after="240" w:line="240" w:lineRule="auto"/>
        <w:jc w:val="center"/>
        <w:rPr>
          <w:b/>
          <w:bCs/>
          <w:sz w:val="28"/>
          <w:szCs w:val="28"/>
        </w:rPr>
      </w:pPr>
      <w:r>
        <w:rPr>
          <w:b/>
          <w:bCs/>
          <w:sz w:val="28"/>
          <w:szCs w:val="28"/>
        </w:rPr>
        <w:t>Michael Winchester, CCQM IAWG Chair</w:t>
      </w:r>
    </w:p>
    <w:p w14:paraId="70EA6A09" w14:textId="3F81295E" w:rsidR="00DD14B5" w:rsidRPr="0016568C" w:rsidRDefault="00DD14B5" w:rsidP="0016568C">
      <w:pPr>
        <w:spacing w:after="240" w:line="240" w:lineRule="auto"/>
        <w:jc w:val="both"/>
        <w:rPr>
          <w:b/>
          <w:bCs/>
          <w:sz w:val="24"/>
          <w:szCs w:val="24"/>
          <w:u w:val="single"/>
        </w:rPr>
      </w:pPr>
      <w:r w:rsidRPr="0016568C">
        <w:rPr>
          <w:b/>
          <w:bCs/>
          <w:sz w:val="24"/>
          <w:szCs w:val="24"/>
          <w:u w:val="single"/>
        </w:rPr>
        <w:t>Introduction</w:t>
      </w:r>
    </w:p>
    <w:p w14:paraId="3B39D361" w14:textId="709DAC9F" w:rsidR="006F4D82" w:rsidRPr="0016568C" w:rsidRDefault="00347456" w:rsidP="0016568C">
      <w:pPr>
        <w:spacing w:after="240" w:line="240" w:lineRule="auto"/>
        <w:jc w:val="both"/>
        <w:rPr>
          <w:sz w:val="24"/>
          <w:szCs w:val="24"/>
        </w:rPr>
      </w:pPr>
      <w:r w:rsidRPr="0016568C">
        <w:rPr>
          <w:sz w:val="24"/>
          <w:szCs w:val="24"/>
        </w:rPr>
        <w:t xml:space="preserve">Michael Winchester (NIST) was appointed as the new </w:t>
      </w:r>
      <w:r w:rsidR="00BA6B22" w:rsidRPr="0016568C">
        <w:rPr>
          <w:sz w:val="24"/>
          <w:szCs w:val="24"/>
        </w:rPr>
        <w:t>c</w:t>
      </w:r>
      <w:r w:rsidRPr="0016568C">
        <w:rPr>
          <w:sz w:val="24"/>
          <w:szCs w:val="24"/>
        </w:rPr>
        <w:t xml:space="preserve">hair of the IAWG during the CCQM plenary meeting held at the BIPM in April 2019; Paola Fisicaro (LNE) continues her tenure as the </w:t>
      </w:r>
      <w:r w:rsidR="00BA6B22" w:rsidRPr="0016568C">
        <w:rPr>
          <w:sz w:val="24"/>
          <w:szCs w:val="24"/>
        </w:rPr>
        <w:t>v</w:t>
      </w:r>
      <w:r w:rsidRPr="0016568C">
        <w:rPr>
          <w:sz w:val="24"/>
          <w:szCs w:val="24"/>
        </w:rPr>
        <w:t>ice-</w:t>
      </w:r>
      <w:r w:rsidR="00595954">
        <w:rPr>
          <w:sz w:val="24"/>
          <w:szCs w:val="24"/>
        </w:rPr>
        <w:t>c</w:t>
      </w:r>
      <w:r w:rsidRPr="0016568C">
        <w:rPr>
          <w:sz w:val="24"/>
          <w:szCs w:val="24"/>
        </w:rPr>
        <w:t>hair.</w:t>
      </w:r>
      <w:r w:rsidR="00BA6B22" w:rsidRPr="0016568C">
        <w:rPr>
          <w:sz w:val="24"/>
          <w:szCs w:val="24"/>
        </w:rPr>
        <w:t xml:space="preserve"> </w:t>
      </w:r>
      <w:r w:rsidR="002C04B4" w:rsidRPr="0016568C">
        <w:rPr>
          <w:sz w:val="24"/>
          <w:szCs w:val="24"/>
        </w:rPr>
        <w:t xml:space="preserve"> </w:t>
      </w:r>
      <w:r w:rsidR="00BA6B22" w:rsidRPr="0016568C">
        <w:rPr>
          <w:sz w:val="24"/>
          <w:szCs w:val="24"/>
        </w:rPr>
        <w:t xml:space="preserve">The new chair hopes to </w:t>
      </w:r>
      <w:r w:rsidR="00595954">
        <w:rPr>
          <w:sz w:val="24"/>
          <w:szCs w:val="24"/>
        </w:rPr>
        <w:t>carry on</w:t>
      </w:r>
      <w:r w:rsidR="00BA6B22" w:rsidRPr="0016568C">
        <w:rPr>
          <w:sz w:val="24"/>
          <w:szCs w:val="24"/>
        </w:rPr>
        <w:t xml:space="preserve"> the excellent leadership of the previous chair, Mike Sargent. </w:t>
      </w:r>
    </w:p>
    <w:p w14:paraId="23CA1FDE" w14:textId="2A2D2E9A" w:rsidR="006F4D82" w:rsidRPr="0016568C" w:rsidRDefault="00347456" w:rsidP="0016568C">
      <w:pPr>
        <w:spacing w:after="240" w:line="240" w:lineRule="auto"/>
        <w:jc w:val="both"/>
        <w:rPr>
          <w:sz w:val="24"/>
          <w:szCs w:val="24"/>
        </w:rPr>
      </w:pPr>
      <w:r w:rsidRPr="0016568C">
        <w:rPr>
          <w:sz w:val="24"/>
          <w:szCs w:val="24"/>
        </w:rPr>
        <w:t>The IAWG met at UNIIM on 10-12 September 2019,</w:t>
      </w:r>
      <w:r w:rsidR="006F4D82" w:rsidRPr="0016568C">
        <w:rPr>
          <w:sz w:val="24"/>
          <w:szCs w:val="24"/>
        </w:rPr>
        <w:t xml:space="preserve"> </w:t>
      </w:r>
      <w:r w:rsidR="00595954">
        <w:rPr>
          <w:sz w:val="24"/>
          <w:szCs w:val="24"/>
        </w:rPr>
        <w:t xml:space="preserve">and the meeting was </w:t>
      </w:r>
      <w:r w:rsidR="006F4D82" w:rsidRPr="0016568C">
        <w:rPr>
          <w:sz w:val="24"/>
          <w:szCs w:val="24"/>
        </w:rPr>
        <w:t>attended by 33</w:t>
      </w:r>
      <w:r w:rsidR="00BA6B22" w:rsidRPr="0016568C">
        <w:rPr>
          <w:sz w:val="24"/>
          <w:szCs w:val="24"/>
        </w:rPr>
        <w:t xml:space="preserve"> delegates representing 19 institutes. </w:t>
      </w:r>
      <w:r w:rsidR="002C04B4" w:rsidRPr="0016568C">
        <w:rPr>
          <w:sz w:val="24"/>
          <w:szCs w:val="24"/>
        </w:rPr>
        <w:t xml:space="preserve"> </w:t>
      </w:r>
      <w:r w:rsidR="00BA6B22" w:rsidRPr="0016568C">
        <w:rPr>
          <w:sz w:val="24"/>
          <w:szCs w:val="24"/>
        </w:rPr>
        <w:t>The first two days constituted the working group meeting, and the</w:t>
      </w:r>
      <w:r w:rsidRPr="0016568C">
        <w:rPr>
          <w:sz w:val="24"/>
          <w:szCs w:val="24"/>
        </w:rPr>
        <w:t xml:space="preserve"> third day </w:t>
      </w:r>
      <w:r w:rsidR="00BA6B22" w:rsidRPr="0016568C">
        <w:rPr>
          <w:sz w:val="24"/>
          <w:szCs w:val="24"/>
        </w:rPr>
        <w:t xml:space="preserve">was </w:t>
      </w:r>
      <w:r w:rsidRPr="0016568C">
        <w:rPr>
          <w:sz w:val="24"/>
          <w:szCs w:val="24"/>
        </w:rPr>
        <w:t>devoted to a workshop titled “Direct and indirect approaches to the purity assessment of high purity metals and salts</w:t>
      </w:r>
      <w:r w:rsidR="006F4D82" w:rsidRPr="0016568C">
        <w:rPr>
          <w:sz w:val="24"/>
          <w:szCs w:val="24"/>
        </w:rPr>
        <w:t>.</w:t>
      </w:r>
      <w:r w:rsidRPr="0016568C">
        <w:rPr>
          <w:sz w:val="24"/>
          <w:szCs w:val="24"/>
        </w:rPr>
        <w:t xml:space="preserve">” </w:t>
      </w:r>
      <w:r w:rsidR="002C04B4" w:rsidRPr="0016568C">
        <w:rPr>
          <w:sz w:val="24"/>
          <w:szCs w:val="24"/>
        </w:rPr>
        <w:t xml:space="preserve"> </w:t>
      </w:r>
      <w:r w:rsidR="006F4D82" w:rsidRPr="0016568C">
        <w:rPr>
          <w:sz w:val="24"/>
          <w:szCs w:val="24"/>
        </w:rPr>
        <w:t>This workshop was the latest of a series of activities within the IAWG, ranging from workshops to pilot studies and key comparisons to the development of an IAWG guidance note, to advance the state-of-the-</w:t>
      </w:r>
      <w:r w:rsidR="00595954">
        <w:rPr>
          <w:sz w:val="24"/>
          <w:szCs w:val="24"/>
        </w:rPr>
        <w:t>art</w:t>
      </w:r>
      <w:r w:rsidR="006F4D82" w:rsidRPr="0016568C">
        <w:rPr>
          <w:sz w:val="24"/>
          <w:szCs w:val="24"/>
        </w:rPr>
        <w:t xml:space="preserve"> and share best practices on purity assays of high-purity inorganic materials. </w:t>
      </w:r>
      <w:r w:rsidR="002C04B4" w:rsidRPr="0016568C">
        <w:rPr>
          <w:sz w:val="24"/>
          <w:szCs w:val="24"/>
        </w:rPr>
        <w:t xml:space="preserve"> </w:t>
      </w:r>
      <w:r w:rsidR="006F4D82" w:rsidRPr="0016568C">
        <w:rPr>
          <w:sz w:val="24"/>
          <w:szCs w:val="24"/>
        </w:rPr>
        <w:t>This is a topic of importance, because high-purity materials ultimately form the basis for SI-traceability in inorganic chemical analysis.</w:t>
      </w:r>
      <w:r w:rsidR="002C04B4" w:rsidRPr="0016568C">
        <w:rPr>
          <w:sz w:val="24"/>
          <w:szCs w:val="24"/>
        </w:rPr>
        <w:t xml:space="preserve"> </w:t>
      </w:r>
      <w:r w:rsidR="006F4D82" w:rsidRPr="0016568C">
        <w:rPr>
          <w:sz w:val="24"/>
          <w:szCs w:val="24"/>
        </w:rPr>
        <w:t xml:space="preserve"> Therefore, the IAWG expects to continue focusing attention on this topic for some time to come.</w:t>
      </w:r>
    </w:p>
    <w:p w14:paraId="3A62194E" w14:textId="41556653" w:rsidR="00BA6B22" w:rsidRPr="0016568C" w:rsidRDefault="00BA6B22" w:rsidP="0016568C">
      <w:pPr>
        <w:spacing w:after="240" w:line="240" w:lineRule="auto"/>
        <w:jc w:val="both"/>
        <w:rPr>
          <w:sz w:val="24"/>
          <w:szCs w:val="24"/>
        </w:rPr>
      </w:pPr>
      <w:r w:rsidRPr="0016568C">
        <w:rPr>
          <w:sz w:val="24"/>
          <w:szCs w:val="24"/>
        </w:rPr>
        <w:t xml:space="preserve">During the ongoing coronavirus pandemic, the IAWG has met virtually twice so far. </w:t>
      </w:r>
      <w:r w:rsidR="002C04B4" w:rsidRPr="0016568C">
        <w:rPr>
          <w:sz w:val="24"/>
          <w:szCs w:val="24"/>
        </w:rPr>
        <w:t xml:space="preserve"> </w:t>
      </w:r>
      <w:r w:rsidRPr="0016568C">
        <w:rPr>
          <w:sz w:val="24"/>
          <w:szCs w:val="24"/>
        </w:rPr>
        <w:t xml:space="preserve">The first VC was held on 14 May 2020 and covered general topics, such as the need for additional </w:t>
      </w:r>
      <w:r w:rsidR="00595954">
        <w:rPr>
          <w:sz w:val="24"/>
          <w:szCs w:val="24"/>
        </w:rPr>
        <w:t xml:space="preserve">IAWG </w:t>
      </w:r>
      <w:r w:rsidRPr="0016568C">
        <w:rPr>
          <w:sz w:val="24"/>
          <w:szCs w:val="24"/>
        </w:rPr>
        <w:t>guidance notes, KCRV calculations</w:t>
      </w:r>
      <w:r w:rsidR="00BC5BAE" w:rsidRPr="0016568C">
        <w:rPr>
          <w:sz w:val="24"/>
          <w:szCs w:val="24"/>
        </w:rPr>
        <w:t>, and scheduling problems caused by delays of comparisons due to the pandemic.</w:t>
      </w:r>
      <w:r w:rsidR="002C04B4" w:rsidRPr="0016568C">
        <w:rPr>
          <w:sz w:val="24"/>
          <w:szCs w:val="24"/>
        </w:rPr>
        <w:t xml:space="preserve"> </w:t>
      </w:r>
      <w:r w:rsidR="00BC5BAE" w:rsidRPr="0016568C">
        <w:rPr>
          <w:sz w:val="24"/>
          <w:szCs w:val="24"/>
        </w:rPr>
        <w:t xml:space="preserve"> The second VC was held on 18 June 2020, during which several comparisons in progress were discussed and two new RMO supplementary comparison proposals were considered. </w:t>
      </w:r>
      <w:r w:rsidR="002C04B4" w:rsidRPr="0016568C">
        <w:rPr>
          <w:sz w:val="24"/>
          <w:szCs w:val="24"/>
        </w:rPr>
        <w:t xml:space="preserve"> </w:t>
      </w:r>
      <w:r w:rsidR="00BC5BAE" w:rsidRPr="0016568C">
        <w:rPr>
          <w:sz w:val="24"/>
          <w:szCs w:val="24"/>
        </w:rPr>
        <w:t>Several more VC meetings are expected over the coming months.</w:t>
      </w:r>
    </w:p>
    <w:p w14:paraId="44B6636E" w14:textId="0AFA2BA1" w:rsidR="006F4D82" w:rsidRPr="0016568C" w:rsidRDefault="00DD14B5" w:rsidP="0016568C">
      <w:pPr>
        <w:spacing w:after="240" w:line="240" w:lineRule="auto"/>
        <w:jc w:val="both"/>
        <w:rPr>
          <w:b/>
          <w:bCs/>
          <w:sz w:val="24"/>
          <w:szCs w:val="24"/>
          <w:u w:val="single"/>
        </w:rPr>
      </w:pPr>
      <w:r w:rsidRPr="0016568C">
        <w:rPr>
          <w:b/>
          <w:bCs/>
          <w:sz w:val="24"/>
          <w:szCs w:val="24"/>
          <w:u w:val="single"/>
        </w:rPr>
        <w:t>General Issues</w:t>
      </w:r>
    </w:p>
    <w:p w14:paraId="3FE0C233" w14:textId="6795EB95" w:rsidR="00DD14B5" w:rsidRPr="0016568C" w:rsidRDefault="00DD14B5" w:rsidP="0016568C">
      <w:pPr>
        <w:spacing w:after="240" w:line="240" w:lineRule="auto"/>
        <w:jc w:val="both"/>
        <w:rPr>
          <w:sz w:val="24"/>
          <w:szCs w:val="24"/>
        </w:rPr>
      </w:pPr>
      <w:r w:rsidRPr="0016568C">
        <w:rPr>
          <w:sz w:val="24"/>
          <w:szCs w:val="24"/>
        </w:rPr>
        <w:t xml:space="preserve">The IAWG has worked over the past year to develop further its core capability </w:t>
      </w:r>
      <w:r w:rsidR="00255FB0" w:rsidRPr="0016568C">
        <w:rPr>
          <w:sz w:val="24"/>
          <w:szCs w:val="24"/>
        </w:rPr>
        <w:t xml:space="preserve">(CC) </w:t>
      </w:r>
      <w:r w:rsidRPr="0016568C">
        <w:rPr>
          <w:sz w:val="24"/>
          <w:szCs w:val="24"/>
        </w:rPr>
        <w:t>approach</w:t>
      </w:r>
      <w:r w:rsidR="00255FB0" w:rsidRPr="0016568C">
        <w:rPr>
          <w:sz w:val="24"/>
          <w:szCs w:val="24"/>
        </w:rPr>
        <w:t xml:space="preserve"> to enable maximized support for CMC claims (both broad and specific claims) with a minimized number of key comparisons.</w:t>
      </w:r>
      <w:r w:rsidR="002C04B4" w:rsidRPr="0016568C">
        <w:rPr>
          <w:sz w:val="24"/>
          <w:szCs w:val="24"/>
        </w:rPr>
        <w:t xml:space="preserve"> </w:t>
      </w:r>
      <w:r w:rsidR="00255FB0" w:rsidRPr="0016568C">
        <w:rPr>
          <w:sz w:val="24"/>
          <w:szCs w:val="24"/>
        </w:rPr>
        <w:t xml:space="preserve"> The current CC matrix consists of about 150 combinations of common matrix type, </w:t>
      </w:r>
      <w:r w:rsidR="00272A8F">
        <w:rPr>
          <w:sz w:val="24"/>
          <w:szCs w:val="24"/>
        </w:rPr>
        <w:t>analyte type</w:t>
      </w:r>
      <w:r w:rsidR="00255FB0" w:rsidRPr="0016568C">
        <w:rPr>
          <w:sz w:val="24"/>
          <w:szCs w:val="24"/>
        </w:rPr>
        <w:t xml:space="preserve">, and </w:t>
      </w:r>
      <w:r w:rsidR="006C1758" w:rsidRPr="0016568C">
        <w:rPr>
          <w:sz w:val="24"/>
          <w:szCs w:val="24"/>
        </w:rPr>
        <w:t xml:space="preserve">analyte </w:t>
      </w:r>
      <w:r w:rsidR="00255FB0" w:rsidRPr="0016568C">
        <w:rPr>
          <w:sz w:val="24"/>
          <w:szCs w:val="24"/>
        </w:rPr>
        <w:t>content level.</w:t>
      </w:r>
      <w:r w:rsidR="002C04B4" w:rsidRPr="0016568C">
        <w:rPr>
          <w:sz w:val="24"/>
          <w:szCs w:val="24"/>
        </w:rPr>
        <w:t xml:space="preserve"> </w:t>
      </w:r>
      <w:r w:rsidR="00255FB0" w:rsidRPr="0016568C">
        <w:rPr>
          <w:sz w:val="24"/>
          <w:szCs w:val="24"/>
        </w:rPr>
        <w:t xml:space="preserve"> Fortunately, not all of these are relevant to CMC claims desired by the IAWG institutes, reducing the number of relevant combinations to</w:t>
      </w:r>
      <w:r w:rsidR="002D368D">
        <w:rPr>
          <w:sz w:val="24"/>
          <w:szCs w:val="24"/>
        </w:rPr>
        <w:t xml:space="preserve"> maybe</w:t>
      </w:r>
      <w:r w:rsidR="00255FB0" w:rsidRPr="0016568C">
        <w:rPr>
          <w:sz w:val="24"/>
          <w:szCs w:val="24"/>
        </w:rPr>
        <w:t xml:space="preserve"> </w:t>
      </w:r>
      <w:r w:rsidR="002D368D">
        <w:rPr>
          <w:sz w:val="24"/>
          <w:szCs w:val="24"/>
        </w:rPr>
        <w:t>5</w:t>
      </w:r>
      <w:r w:rsidR="00255FB0" w:rsidRPr="0016568C">
        <w:rPr>
          <w:sz w:val="24"/>
          <w:szCs w:val="24"/>
        </w:rPr>
        <w:t xml:space="preserve">0. </w:t>
      </w:r>
      <w:r w:rsidR="002C04B4" w:rsidRPr="0016568C">
        <w:rPr>
          <w:sz w:val="24"/>
          <w:szCs w:val="24"/>
        </w:rPr>
        <w:t xml:space="preserve"> </w:t>
      </w:r>
      <w:r w:rsidR="00255FB0" w:rsidRPr="0016568C">
        <w:rPr>
          <w:sz w:val="24"/>
          <w:szCs w:val="24"/>
        </w:rPr>
        <w:t>However, this is still too many for the IAWG to support realistically, and so further work is needed.</w:t>
      </w:r>
      <w:r w:rsidR="002C04B4" w:rsidRPr="0016568C">
        <w:rPr>
          <w:sz w:val="24"/>
          <w:szCs w:val="24"/>
        </w:rPr>
        <w:t xml:space="preserve"> </w:t>
      </w:r>
      <w:r w:rsidR="00255FB0" w:rsidRPr="0016568C">
        <w:rPr>
          <w:sz w:val="24"/>
          <w:szCs w:val="24"/>
        </w:rPr>
        <w:t xml:space="preserve"> It is unclear at this point how much the CC approach will help with CMC claim sustainability.</w:t>
      </w:r>
      <w:r w:rsidR="001364B6" w:rsidRPr="0016568C">
        <w:rPr>
          <w:sz w:val="24"/>
          <w:szCs w:val="24"/>
        </w:rPr>
        <w:t xml:space="preserve">  It is clearer that the approach can cause CMC claim review to be more difficult and to require more expert opinion than the KCWG can provide, at least under the current CMC claim review paradigm.</w:t>
      </w:r>
    </w:p>
    <w:p w14:paraId="3A68724A" w14:textId="1673C812" w:rsidR="00DD14B5" w:rsidRPr="0016568C" w:rsidRDefault="00DD14B5" w:rsidP="0016568C">
      <w:pPr>
        <w:spacing w:after="240" w:line="240" w:lineRule="auto"/>
        <w:jc w:val="both"/>
        <w:rPr>
          <w:sz w:val="24"/>
          <w:szCs w:val="24"/>
        </w:rPr>
      </w:pPr>
      <w:r w:rsidRPr="0016568C">
        <w:rPr>
          <w:sz w:val="24"/>
          <w:szCs w:val="24"/>
        </w:rPr>
        <w:t xml:space="preserve">The IAWG has decided to develop several guidance notes for its work, beginning with templates for new comparison proposals and new comparison reports. </w:t>
      </w:r>
      <w:r w:rsidR="002C04B4" w:rsidRPr="0016568C">
        <w:rPr>
          <w:sz w:val="24"/>
          <w:szCs w:val="24"/>
        </w:rPr>
        <w:t xml:space="preserve"> </w:t>
      </w:r>
      <w:r w:rsidRPr="0016568C">
        <w:rPr>
          <w:sz w:val="24"/>
          <w:szCs w:val="24"/>
        </w:rPr>
        <w:t xml:space="preserve">While the IAWG has functioned </w:t>
      </w:r>
      <w:r w:rsidR="00272A8F">
        <w:rPr>
          <w:sz w:val="24"/>
          <w:szCs w:val="24"/>
        </w:rPr>
        <w:t>well</w:t>
      </w:r>
      <w:r w:rsidRPr="0016568C">
        <w:rPr>
          <w:sz w:val="24"/>
          <w:szCs w:val="24"/>
        </w:rPr>
        <w:t xml:space="preserve"> over the years without such guidance notes, it is believed that such notes will enable better planning, effectiveness, and efficiency. </w:t>
      </w:r>
      <w:r w:rsidR="002C04B4" w:rsidRPr="0016568C">
        <w:rPr>
          <w:sz w:val="24"/>
          <w:szCs w:val="24"/>
        </w:rPr>
        <w:t xml:space="preserve"> </w:t>
      </w:r>
      <w:r w:rsidRPr="0016568C">
        <w:rPr>
          <w:sz w:val="24"/>
          <w:szCs w:val="24"/>
        </w:rPr>
        <w:t xml:space="preserve">This is especially important, because of the need to support broad scope CMC claims with a minimum of </w:t>
      </w:r>
      <w:r w:rsidR="002D368D">
        <w:rPr>
          <w:sz w:val="24"/>
          <w:szCs w:val="24"/>
        </w:rPr>
        <w:t xml:space="preserve">comparisons, making it </w:t>
      </w:r>
      <w:r w:rsidR="002D368D">
        <w:rPr>
          <w:sz w:val="24"/>
          <w:szCs w:val="24"/>
        </w:rPr>
        <w:lastRenderedPageBreak/>
        <w:t>necessary to get as much out of each comparison as possible</w:t>
      </w:r>
      <w:r w:rsidRPr="0016568C">
        <w:rPr>
          <w:sz w:val="24"/>
          <w:szCs w:val="24"/>
        </w:rPr>
        <w:t>.</w:t>
      </w:r>
      <w:r w:rsidR="001364B6" w:rsidRPr="0016568C">
        <w:rPr>
          <w:sz w:val="24"/>
          <w:szCs w:val="24"/>
        </w:rPr>
        <w:t xml:space="preserve">  While no decision has yet been made, the IAWG is also considering </w:t>
      </w:r>
      <w:r w:rsidR="0016568C" w:rsidRPr="0016568C">
        <w:rPr>
          <w:sz w:val="24"/>
          <w:szCs w:val="24"/>
        </w:rPr>
        <w:t>revising and</w:t>
      </w:r>
      <w:r w:rsidR="001364B6" w:rsidRPr="0016568C">
        <w:rPr>
          <w:sz w:val="24"/>
          <w:szCs w:val="24"/>
        </w:rPr>
        <w:t xml:space="preserve"> codif</w:t>
      </w:r>
      <w:r w:rsidR="0016568C" w:rsidRPr="0016568C">
        <w:rPr>
          <w:sz w:val="24"/>
          <w:szCs w:val="24"/>
        </w:rPr>
        <w:t>ying its</w:t>
      </w:r>
      <w:r w:rsidR="001364B6" w:rsidRPr="0016568C">
        <w:rPr>
          <w:sz w:val="24"/>
          <w:szCs w:val="24"/>
        </w:rPr>
        <w:t xml:space="preserve"> approach to KCRV estimation</w:t>
      </w:r>
      <w:r w:rsidR="0016568C" w:rsidRPr="0016568C">
        <w:rPr>
          <w:sz w:val="24"/>
          <w:szCs w:val="24"/>
        </w:rPr>
        <w:t>, with one of the goals being to harmonize the approach with the other CCQM WGs</w:t>
      </w:r>
      <w:r w:rsidR="001364B6" w:rsidRPr="0016568C">
        <w:rPr>
          <w:sz w:val="24"/>
          <w:szCs w:val="24"/>
        </w:rPr>
        <w:t>.</w:t>
      </w:r>
    </w:p>
    <w:p w14:paraId="1033983B" w14:textId="77777777" w:rsidR="002D368D" w:rsidRPr="0016568C" w:rsidRDefault="002D368D" w:rsidP="002D368D">
      <w:pPr>
        <w:spacing w:after="240" w:line="240" w:lineRule="auto"/>
        <w:rPr>
          <w:b/>
          <w:bCs/>
          <w:sz w:val="24"/>
          <w:szCs w:val="24"/>
        </w:rPr>
      </w:pPr>
      <w:r w:rsidRPr="0016568C">
        <w:rPr>
          <w:sz w:val="24"/>
          <w:szCs w:val="24"/>
        </w:rPr>
        <w:t>Similar to most of the other CCQM WGs, the IAWG is experiencing problems, caused by the pandemic, with scheduling of comparisons.  Because so many institutes have been at reduced capacity, progress continues to be delayed, especially where preparation, dispatch, and analysis of samples is involved.</w:t>
      </w:r>
    </w:p>
    <w:p w14:paraId="3800CB40" w14:textId="7EA07B40" w:rsidR="006C1758" w:rsidRPr="0016568C" w:rsidRDefault="006C1758" w:rsidP="0016568C">
      <w:pPr>
        <w:spacing w:after="240" w:line="240" w:lineRule="auto"/>
        <w:rPr>
          <w:sz w:val="24"/>
          <w:szCs w:val="24"/>
        </w:rPr>
      </w:pPr>
      <w:r w:rsidRPr="0016568C">
        <w:rPr>
          <w:sz w:val="24"/>
          <w:szCs w:val="24"/>
        </w:rPr>
        <w:t>An IAWG member institute, the IJS in Slovenia, has been one of the institutes whose CMC claims were jeopardized by the exit of the JRC</w:t>
      </w:r>
      <w:r w:rsidR="002C04B4" w:rsidRPr="0016568C">
        <w:rPr>
          <w:sz w:val="24"/>
          <w:szCs w:val="24"/>
        </w:rPr>
        <w:t xml:space="preserve"> from EURAMET.  Specifically, the IJS depended on an IRMM CRM for calibration and SI-traceability for its </w:t>
      </w:r>
      <w:r w:rsidR="002C04B4" w:rsidRPr="002D368D">
        <w:rPr>
          <w:i/>
          <w:iCs/>
          <w:sz w:val="24"/>
          <w:szCs w:val="24"/>
        </w:rPr>
        <w:t>k</w:t>
      </w:r>
      <w:r w:rsidR="002C04B4" w:rsidRPr="0016568C">
        <w:rPr>
          <w:sz w:val="24"/>
          <w:szCs w:val="24"/>
          <w:vertAlign w:val="subscript"/>
        </w:rPr>
        <w:t>0</w:t>
      </w:r>
      <w:r w:rsidR="002C04B4" w:rsidRPr="0016568C">
        <w:rPr>
          <w:sz w:val="24"/>
          <w:szCs w:val="24"/>
        </w:rPr>
        <w:t xml:space="preserve"> neutron activation analysis (NAA) measurements.  The particular CRM unit was purchased by the IJS prior to JRC’s exit, but was due to expire, which would in turn invalidate the related CMC claims of the IJS.  A plan was put in place to allow the IJS to test the IRMM CRM</w:t>
      </w:r>
      <w:r w:rsidR="002D368D">
        <w:rPr>
          <w:sz w:val="24"/>
          <w:szCs w:val="24"/>
        </w:rPr>
        <w:t xml:space="preserve"> unit</w:t>
      </w:r>
      <w:r w:rsidR="002C04B4" w:rsidRPr="0016568C">
        <w:rPr>
          <w:sz w:val="24"/>
          <w:szCs w:val="24"/>
        </w:rPr>
        <w:t xml:space="preserve"> for stability and extend the expiration date by 5 y to give the IJS enough time to find another suitable CRM</w:t>
      </w:r>
      <w:r w:rsidR="002D368D">
        <w:rPr>
          <w:sz w:val="24"/>
          <w:szCs w:val="24"/>
        </w:rPr>
        <w:t>; NIST volunteered to help with this</w:t>
      </w:r>
      <w:r w:rsidR="002C04B4" w:rsidRPr="0016568C">
        <w:rPr>
          <w:sz w:val="24"/>
          <w:szCs w:val="24"/>
        </w:rPr>
        <w:t xml:space="preserve">.  Fortunately, the JRC has now </w:t>
      </w:r>
      <w:r w:rsidR="002D368D" w:rsidRPr="0016568C">
        <w:rPr>
          <w:sz w:val="24"/>
          <w:szCs w:val="24"/>
        </w:rPr>
        <w:t>re-joined</w:t>
      </w:r>
      <w:r w:rsidR="002C04B4" w:rsidRPr="0016568C">
        <w:rPr>
          <w:sz w:val="24"/>
          <w:szCs w:val="24"/>
        </w:rPr>
        <w:t xml:space="preserve"> EURAMET, solving the problem without the need for such stability testing.  </w:t>
      </w:r>
    </w:p>
    <w:p w14:paraId="21A6B69A" w14:textId="6BB19527" w:rsidR="00775E59" w:rsidRPr="0016568C" w:rsidRDefault="00C00685" w:rsidP="0016568C">
      <w:pPr>
        <w:spacing w:after="240" w:line="240" w:lineRule="auto"/>
        <w:rPr>
          <w:b/>
          <w:bCs/>
          <w:sz w:val="24"/>
          <w:szCs w:val="24"/>
          <w:u w:val="single"/>
        </w:rPr>
      </w:pPr>
      <w:r>
        <w:rPr>
          <w:b/>
          <w:bCs/>
          <w:sz w:val="24"/>
          <w:szCs w:val="24"/>
          <w:u w:val="single"/>
        </w:rPr>
        <w:t xml:space="preserve">IAWG </w:t>
      </w:r>
      <w:r w:rsidR="0016568C" w:rsidRPr="0016568C">
        <w:rPr>
          <w:b/>
          <w:bCs/>
          <w:sz w:val="24"/>
          <w:szCs w:val="24"/>
          <w:u w:val="single"/>
        </w:rPr>
        <w:t>Key Comparisons</w:t>
      </w:r>
    </w:p>
    <w:p w14:paraId="4AF4DA86" w14:textId="05C70E62" w:rsidR="0016568C" w:rsidRDefault="00C00685" w:rsidP="0016568C">
      <w:pPr>
        <w:spacing w:after="240" w:line="240" w:lineRule="auto"/>
        <w:rPr>
          <w:sz w:val="24"/>
          <w:szCs w:val="24"/>
        </w:rPr>
      </w:pPr>
      <w:r w:rsidRPr="00C00685">
        <w:rPr>
          <w:sz w:val="24"/>
          <w:szCs w:val="24"/>
        </w:rPr>
        <w:t xml:space="preserve">The IAWG has </w:t>
      </w:r>
      <w:r w:rsidR="00E57FDE">
        <w:rPr>
          <w:sz w:val="24"/>
          <w:szCs w:val="24"/>
        </w:rPr>
        <w:t>10</w:t>
      </w:r>
      <w:r>
        <w:rPr>
          <w:sz w:val="24"/>
          <w:szCs w:val="24"/>
        </w:rPr>
        <w:t xml:space="preserve"> key comparisons, some with parallel pilot studies, that </w:t>
      </w:r>
      <w:r w:rsidR="00E57FDE">
        <w:rPr>
          <w:sz w:val="24"/>
          <w:szCs w:val="24"/>
        </w:rPr>
        <w:t xml:space="preserve">have been approved by the CCQM and </w:t>
      </w:r>
      <w:r>
        <w:rPr>
          <w:sz w:val="24"/>
          <w:szCs w:val="24"/>
        </w:rPr>
        <w:t xml:space="preserve">are currently in progress.  </w:t>
      </w:r>
      <w:r w:rsidR="00E57FDE">
        <w:rPr>
          <w:sz w:val="24"/>
          <w:szCs w:val="24"/>
        </w:rPr>
        <w:t>In Table 1, t</w:t>
      </w:r>
      <w:r>
        <w:rPr>
          <w:sz w:val="24"/>
          <w:szCs w:val="24"/>
        </w:rPr>
        <w:t>hey are delineated</w:t>
      </w:r>
      <w:r w:rsidR="00E57FDE">
        <w:rPr>
          <w:sz w:val="24"/>
          <w:szCs w:val="24"/>
        </w:rPr>
        <w:t xml:space="preserve"> according to track, model, status, and progress over the time period covered by this report</w:t>
      </w:r>
      <w:r>
        <w:rPr>
          <w:sz w:val="24"/>
          <w:szCs w:val="24"/>
        </w:rPr>
        <w:t>.</w:t>
      </w:r>
      <w:r w:rsidR="00E57FDE">
        <w:rPr>
          <w:sz w:val="24"/>
          <w:szCs w:val="24"/>
        </w:rPr>
        <w:t xml:space="preserve">  Note that the last five</w:t>
      </w:r>
      <w:r w:rsidR="00C81F97">
        <w:rPr>
          <w:sz w:val="24"/>
          <w:szCs w:val="24"/>
        </w:rPr>
        <w:t xml:space="preserve"> comparisons</w:t>
      </w:r>
      <w:r w:rsidR="00E57FDE">
        <w:rPr>
          <w:sz w:val="24"/>
          <w:szCs w:val="24"/>
        </w:rPr>
        <w:t xml:space="preserve"> </w:t>
      </w:r>
      <w:r w:rsidR="006419E3">
        <w:rPr>
          <w:sz w:val="24"/>
          <w:szCs w:val="24"/>
        </w:rPr>
        <w:t>in the table are being delayed by the pandemic and will require rescheduling to spread them out</w:t>
      </w:r>
      <w:r w:rsidR="00C81F97">
        <w:rPr>
          <w:sz w:val="24"/>
          <w:szCs w:val="24"/>
        </w:rPr>
        <w:t xml:space="preserve"> over time</w:t>
      </w:r>
      <w:r w:rsidR="006419E3">
        <w:rPr>
          <w:sz w:val="24"/>
          <w:szCs w:val="24"/>
        </w:rPr>
        <w:t xml:space="preserve">, so that they do not all occur on schedules that are too similar.  A related effect of the pandemic is that the IAWG cannot adopt many new comparisons until the calendar can be cleared a bit. </w:t>
      </w:r>
    </w:p>
    <w:p w14:paraId="01E7E8DD" w14:textId="77777777" w:rsidR="00C81F97" w:rsidRDefault="006419E3" w:rsidP="0016568C">
      <w:pPr>
        <w:spacing w:after="240" w:line="240" w:lineRule="auto"/>
        <w:rPr>
          <w:sz w:val="24"/>
          <w:szCs w:val="24"/>
        </w:rPr>
      </w:pPr>
      <w:r>
        <w:rPr>
          <w:sz w:val="24"/>
          <w:szCs w:val="24"/>
        </w:rPr>
        <w:t>Though not shown in Table 1, the IAWG also has two standalone pilot studies that have been completed and for which journal publications are being prepared.  These include CCQM-P160 (</w:t>
      </w:r>
      <w:r w:rsidRPr="006419E3">
        <w:rPr>
          <w:sz w:val="24"/>
          <w:szCs w:val="24"/>
        </w:rPr>
        <w:t>Isotope ratios / molar mass measurements of Si isotopes in isotopically enriched silicon</w:t>
      </w:r>
      <w:r>
        <w:rPr>
          <w:sz w:val="24"/>
          <w:szCs w:val="24"/>
        </w:rPr>
        <w:t>) and CCQM-P194 (</w:t>
      </w:r>
      <w:r w:rsidRPr="006419E3">
        <w:rPr>
          <w:sz w:val="24"/>
          <w:szCs w:val="24"/>
        </w:rPr>
        <w:t>Number concentration of colloidal particles in solution</w:t>
      </w:r>
      <w:r>
        <w:rPr>
          <w:sz w:val="24"/>
          <w:szCs w:val="24"/>
        </w:rPr>
        <w:t xml:space="preserve">).  </w:t>
      </w:r>
    </w:p>
    <w:p w14:paraId="2212E3AA" w14:textId="504A0B70" w:rsidR="006419E3" w:rsidRDefault="006419E3" w:rsidP="0016568C">
      <w:pPr>
        <w:spacing w:after="240" w:line="240" w:lineRule="auto"/>
        <w:rPr>
          <w:sz w:val="24"/>
          <w:szCs w:val="24"/>
        </w:rPr>
      </w:pPr>
      <w:r>
        <w:rPr>
          <w:sz w:val="24"/>
          <w:szCs w:val="24"/>
        </w:rPr>
        <w:t xml:space="preserve">Also not included in Table 1 are studies which are yet to be formally approved by the CCQM, but for which </w:t>
      </w:r>
      <w:r w:rsidR="00C34097">
        <w:rPr>
          <w:sz w:val="24"/>
          <w:szCs w:val="24"/>
        </w:rPr>
        <w:t>designations</w:t>
      </w:r>
      <w:r>
        <w:rPr>
          <w:sz w:val="24"/>
          <w:szCs w:val="24"/>
        </w:rPr>
        <w:t xml:space="preserve"> have been attained from the KCWG, including CCQM-K166/P210</w:t>
      </w:r>
      <w:r w:rsidRPr="006419E3">
        <w:t xml:space="preserve"> </w:t>
      </w:r>
      <w:r>
        <w:t>(</w:t>
      </w:r>
      <w:r w:rsidRPr="006419E3">
        <w:rPr>
          <w:sz w:val="24"/>
          <w:szCs w:val="24"/>
        </w:rPr>
        <w:t>Measurement of nanoparticle number concentration in liquid suspension</w:t>
      </w:r>
      <w:r>
        <w:rPr>
          <w:sz w:val="24"/>
          <w:szCs w:val="24"/>
        </w:rPr>
        <w:t>; joint with the SAWG) and CCQM-P215 (</w:t>
      </w:r>
      <w:r w:rsidRPr="006419E3">
        <w:rPr>
          <w:sz w:val="24"/>
          <w:szCs w:val="24"/>
        </w:rPr>
        <w:t xml:space="preserve">Arsenic speciation in seafood </w:t>
      </w:r>
      <w:r>
        <w:rPr>
          <w:sz w:val="24"/>
          <w:szCs w:val="24"/>
        </w:rPr>
        <w:t>– a</w:t>
      </w:r>
      <w:r w:rsidRPr="006419E3">
        <w:rPr>
          <w:sz w:val="24"/>
          <w:szCs w:val="24"/>
        </w:rPr>
        <w:t>quatic animals)</w:t>
      </w:r>
      <w:r>
        <w:rPr>
          <w:sz w:val="24"/>
          <w:szCs w:val="24"/>
        </w:rPr>
        <w:t>.</w:t>
      </w:r>
      <w:r w:rsidR="00C81F97">
        <w:rPr>
          <w:sz w:val="24"/>
          <w:szCs w:val="24"/>
        </w:rPr>
        <w:t xml:space="preserve">  CCQM-K166/P210 is considered a Track C comparison under the terminology employed by most of the CCQM WGs (the IAWG has not traditionally used this terminology).  Both CCQM-K166/P210 and the preceding CCQM-P194 are unique in the IAWG in that the measurand is nanoparticle number concentration i</w:t>
      </w:r>
      <w:r w:rsidR="00C34097">
        <w:rPr>
          <w:sz w:val="24"/>
          <w:szCs w:val="24"/>
        </w:rPr>
        <w:t>n</w:t>
      </w:r>
      <w:r w:rsidR="00C81F97">
        <w:rPr>
          <w:sz w:val="24"/>
          <w:szCs w:val="24"/>
        </w:rPr>
        <w:t xml:space="preserve"> liquid suspension, not </w:t>
      </w:r>
      <w:r w:rsidR="00C34097">
        <w:rPr>
          <w:sz w:val="24"/>
          <w:szCs w:val="24"/>
        </w:rPr>
        <w:t>a measurand</w:t>
      </w:r>
      <w:r w:rsidR="00C81F97">
        <w:rPr>
          <w:sz w:val="24"/>
          <w:szCs w:val="24"/>
        </w:rPr>
        <w:t xml:space="preserve"> that would usually be considered in the realm of inorganic chemical analysis.  The reason for this work being in the IAWG is that one of the measurement methods is single-particle (sp)ICP-MS, which naturally belongs in the IAWG.  Because other applicable techniques reside in the SAWG, </w:t>
      </w:r>
      <w:r w:rsidR="00C34097">
        <w:rPr>
          <w:sz w:val="24"/>
          <w:szCs w:val="24"/>
        </w:rPr>
        <w:t>institutes from both the IAWG and the SAWG participated in CCQM-P194, and</w:t>
      </w:r>
      <w:r w:rsidR="00C81F97">
        <w:rPr>
          <w:sz w:val="24"/>
          <w:szCs w:val="24"/>
        </w:rPr>
        <w:t xml:space="preserve"> CCQM-K166/P210 </w:t>
      </w:r>
      <w:r w:rsidR="00C34097">
        <w:rPr>
          <w:sz w:val="24"/>
          <w:szCs w:val="24"/>
        </w:rPr>
        <w:t>will be registered under both WGs.</w:t>
      </w:r>
      <w:r w:rsidR="00C81F97">
        <w:rPr>
          <w:sz w:val="24"/>
          <w:szCs w:val="24"/>
        </w:rPr>
        <w:t xml:space="preserve"> </w:t>
      </w:r>
    </w:p>
    <w:p w14:paraId="3636FF6F" w14:textId="076C443B" w:rsidR="000E6D4E" w:rsidRPr="0016568C" w:rsidRDefault="000E6D4E" w:rsidP="000E6D4E">
      <w:pPr>
        <w:spacing w:after="240" w:line="240" w:lineRule="auto"/>
        <w:rPr>
          <w:b/>
          <w:bCs/>
          <w:sz w:val="24"/>
          <w:szCs w:val="24"/>
          <w:u w:val="single"/>
        </w:rPr>
      </w:pPr>
      <w:r>
        <w:rPr>
          <w:b/>
          <w:bCs/>
          <w:sz w:val="24"/>
          <w:szCs w:val="24"/>
          <w:u w:val="single"/>
        </w:rPr>
        <w:lastRenderedPageBreak/>
        <w:t xml:space="preserve">Advancing Measurement Science in the </w:t>
      </w:r>
      <w:r>
        <w:rPr>
          <w:b/>
          <w:bCs/>
          <w:sz w:val="24"/>
          <w:szCs w:val="24"/>
          <w:u w:val="single"/>
        </w:rPr>
        <w:t>IAWG</w:t>
      </w:r>
    </w:p>
    <w:p w14:paraId="2E5B64E9" w14:textId="77777777" w:rsidR="000E6D4E" w:rsidRDefault="000E6D4E" w:rsidP="0016568C">
      <w:pPr>
        <w:spacing w:after="240" w:line="240" w:lineRule="auto"/>
        <w:rPr>
          <w:sz w:val="24"/>
          <w:szCs w:val="24"/>
        </w:rPr>
      </w:pPr>
      <w:r>
        <w:rPr>
          <w:sz w:val="24"/>
          <w:szCs w:val="24"/>
        </w:rPr>
        <w:t xml:space="preserve">The IAWG continues to undertake activities to advance inorganic chemical metrology.  Several of the comparisons shown in Table 1 include measurements of elemental speciation, which is still not an advanced field.  The IAWG studies are helping to improve the state-of-the-art and to build capacity amongst its member institutes.  As noted in the preceding section, the IAWG also has activities in the area of nanoparticle metrology.  Indeed, nanotechnology will continue to be a focus of the IAWG for the next several years.  </w:t>
      </w:r>
    </w:p>
    <w:p w14:paraId="7D3CC97B" w14:textId="29F27FBB" w:rsidR="000E6D4E" w:rsidRDefault="000E6D4E" w:rsidP="0016568C">
      <w:pPr>
        <w:spacing w:after="240" w:line="240" w:lineRule="auto"/>
        <w:rPr>
          <w:sz w:val="24"/>
          <w:szCs w:val="24"/>
        </w:rPr>
      </w:pPr>
      <w:r>
        <w:rPr>
          <w:sz w:val="24"/>
          <w:szCs w:val="24"/>
        </w:rPr>
        <w:t xml:space="preserve">Finally, it should be noted that the IAWG is working with other CCQM WGs in some of these </w:t>
      </w:r>
      <w:r w:rsidR="00764F4F">
        <w:rPr>
          <w:sz w:val="24"/>
          <w:szCs w:val="24"/>
        </w:rPr>
        <w:t>endeavours</w:t>
      </w:r>
      <w:r>
        <w:rPr>
          <w:sz w:val="24"/>
          <w:szCs w:val="24"/>
        </w:rPr>
        <w:t>.  Specifically, the nanoparticle metrology</w:t>
      </w:r>
      <w:r w:rsidR="00764F4F">
        <w:rPr>
          <w:sz w:val="24"/>
          <w:szCs w:val="24"/>
        </w:rPr>
        <w:t xml:space="preserve"> comparisons are</w:t>
      </w:r>
      <w:r>
        <w:rPr>
          <w:sz w:val="24"/>
          <w:szCs w:val="24"/>
        </w:rPr>
        <w:t xml:space="preserve"> being carried out cooperatively with the SAWG</w:t>
      </w:r>
      <w:r w:rsidR="00C34097">
        <w:rPr>
          <w:sz w:val="24"/>
          <w:szCs w:val="24"/>
        </w:rPr>
        <w:t xml:space="preserve"> for reasons explained previously</w:t>
      </w:r>
      <w:r>
        <w:rPr>
          <w:sz w:val="24"/>
          <w:szCs w:val="24"/>
        </w:rPr>
        <w:t>.  A</w:t>
      </w:r>
      <w:r w:rsidR="00C34097">
        <w:rPr>
          <w:sz w:val="24"/>
          <w:szCs w:val="24"/>
        </w:rPr>
        <w:t>nother</w:t>
      </w:r>
      <w:r>
        <w:rPr>
          <w:sz w:val="24"/>
          <w:szCs w:val="24"/>
        </w:rPr>
        <w:t xml:space="preserve"> case is CCQM-K151/P191 (</w:t>
      </w:r>
      <w:r w:rsidR="00764F4F" w:rsidRPr="00764F4F">
        <w:rPr>
          <w:sz w:val="24"/>
          <w:szCs w:val="24"/>
        </w:rPr>
        <w:t>Mass fraction of a purity-assessed recombinant protein in an aqueous calibration solution using amino acid-based ID-LC-MS and/or sulfur-based ID-ICP-MS</w:t>
      </w:r>
      <w:r w:rsidR="00764F4F">
        <w:rPr>
          <w:sz w:val="24"/>
          <w:szCs w:val="24"/>
        </w:rPr>
        <w:t>).  All participants in K151 are members of the PAWG, and only methods belonging in the PAWG’s purview were used.  In contrast, all participants in P191 are in the IAWG, and only methods belonging within the IAWG were employed.  The key point is that K151 and P191 are intended to support one another, because they involve two completely different approaches for quantitation.</w:t>
      </w:r>
      <w:r w:rsidR="00C34097">
        <w:rPr>
          <w:sz w:val="24"/>
          <w:szCs w:val="24"/>
        </w:rPr>
        <w:t xml:space="preserve">  This work is expected to be published in a scientific journal.</w:t>
      </w:r>
    </w:p>
    <w:p w14:paraId="1C98669A" w14:textId="1DA4E4B5" w:rsidR="0017696E" w:rsidRDefault="0017696E" w:rsidP="0016568C">
      <w:pPr>
        <w:spacing w:after="240" w:line="240" w:lineRule="auto"/>
        <w:rPr>
          <w:sz w:val="24"/>
          <w:szCs w:val="24"/>
        </w:rPr>
      </w:pPr>
    </w:p>
    <w:p w14:paraId="4C6DDE79" w14:textId="434BFC30" w:rsidR="0017696E" w:rsidRDefault="0017696E" w:rsidP="0016568C">
      <w:pPr>
        <w:spacing w:after="240" w:line="240" w:lineRule="auto"/>
        <w:rPr>
          <w:sz w:val="24"/>
          <w:szCs w:val="24"/>
        </w:rPr>
        <w:sectPr w:rsidR="0017696E">
          <w:footerReference w:type="default" r:id="rId7"/>
          <w:pgSz w:w="11906" w:h="16838"/>
          <w:pgMar w:top="1440" w:right="1440" w:bottom="1440" w:left="1440" w:header="708" w:footer="708" w:gutter="0"/>
          <w:cols w:space="708"/>
          <w:docGrid w:linePitch="360"/>
        </w:sectPr>
      </w:pPr>
    </w:p>
    <w:p w14:paraId="59E6C786" w14:textId="622AC21C" w:rsidR="0017696E" w:rsidRDefault="0017696E" w:rsidP="0016568C">
      <w:pPr>
        <w:spacing w:after="240" w:line="240" w:lineRule="auto"/>
        <w:rPr>
          <w:sz w:val="24"/>
          <w:szCs w:val="24"/>
        </w:rPr>
      </w:pPr>
      <w:r>
        <w:rPr>
          <w:sz w:val="24"/>
          <w:szCs w:val="24"/>
        </w:rPr>
        <w:lastRenderedPageBreak/>
        <w:t xml:space="preserve">Table 1.  </w:t>
      </w:r>
      <w:r w:rsidR="00C34097">
        <w:rPr>
          <w:sz w:val="24"/>
          <w:szCs w:val="24"/>
        </w:rPr>
        <w:t>Official k</w:t>
      </w:r>
      <w:r>
        <w:rPr>
          <w:sz w:val="24"/>
          <w:szCs w:val="24"/>
        </w:rPr>
        <w:t xml:space="preserve">ey comparisons and </w:t>
      </w:r>
      <w:r w:rsidR="00C34097">
        <w:rPr>
          <w:sz w:val="24"/>
          <w:szCs w:val="24"/>
        </w:rPr>
        <w:t xml:space="preserve">parallel </w:t>
      </w:r>
      <w:bookmarkStart w:id="0" w:name="_GoBack"/>
      <w:bookmarkEnd w:id="0"/>
      <w:r>
        <w:rPr>
          <w:sz w:val="24"/>
          <w:szCs w:val="24"/>
        </w:rPr>
        <w:t>pilot studies of the IAWG for the period (April 2019 – June 2020), including progress made.</w:t>
      </w:r>
    </w:p>
    <w:tbl>
      <w:tblPr>
        <w:tblStyle w:val="TableGrid"/>
        <w:tblW w:w="14035" w:type="dxa"/>
        <w:tblLook w:val="04A0" w:firstRow="1" w:lastRow="0" w:firstColumn="1" w:lastColumn="0" w:noHBand="0" w:noVBand="1"/>
      </w:tblPr>
      <w:tblGrid>
        <w:gridCol w:w="1615"/>
        <w:gridCol w:w="5580"/>
        <w:gridCol w:w="1080"/>
        <w:gridCol w:w="1080"/>
        <w:gridCol w:w="2340"/>
        <w:gridCol w:w="2340"/>
      </w:tblGrid>
      <w:tr w:rsidR="007A07E0" w:rsidRPr="007A07E0" w14:paraId="098510E8" w14:textId="77777777" w:rsidTr="00E57FDE">
        <w:tc>
          <w:tcPr>
            <w:tcW w:w="1615" w:type="dxa"/>
            <w:vMerge w:val="restart"/>
            <w:shd w:val="clear" w:color="auto" w:fill="D0CECE" w:themeFill="background2" w:themeFillShade="E6"/>
            <w:vAlign w:val="center"/>
          </w:tcPr>
          <w:p w14:paraId="1D3468C6" w14:textId="4229DEED" w:rsidR="007A07E0" w:rsidRPr="007A07E0" w:rsidRDefault="007A07E0" w:rsidP="007A07E0">
            <w:pPr>
              <w:jc w:val="center"/>
              <w:rPr>
                <w:b/>
                <w:bCs/>
                <w:sz w:val="24"/>
                <w:szCs w:val="24"/>
              </w:rPr>
            </w:pPr>
            <w:r w:rsidRPr="007A07E0">
              <w:rPr>
                <w:b/>
                <w:bCs/>
                <w:sz w:val="24"/>
                <w:szCs w:val="24"/>
              </w:rPr>
              <w:t xml:space="preserve">CCQM </w:t>
            </w:r>
            <w:r w:rsidR="00C34097">
              <w:rPr>
                <w:b/>
                <w:bCs/>
                <w:sz w:val="24"/>
                <w:szCs w:val="24"/>
              </w:rPr>
              <w:t>Designation</w:t>
            </w:r>
          </w:p>
        </w:tc>
        <w:tc>
          <w:tcPr>
            <w:tcW w:w="5580" w:type="dxa"/>
            <w:vMerge w:val="restart"/>
            <w:shd w:val="clear" w:color="auto" w:fill="D0CECE" w:themeFill="background2" w:themeFillShade="E6"/>
            <w:vAlign w:val="center"/>
          </w:tcPr>
          <w:p w14:paraId="7EA436D6" w14:textId="0042A7E9" w:rsidR="007A07E0" w:rsidRPr="007A07E0" w:rsidRDefault="007A07E0" w:rsidP="007A07E0">
            <w:pPr>
              <w:jc w:val="center"/>
              <w:rPr>
                <w:b/>
                <w:bCs/>
                <w:sz w:val="24"/>
                <w:szCs w:val="24"/>
              </w:rPr>
            </w:pPr>
            <w:r w:rsidRPr="007A07E0">
              <w:rPr>
                <w:b/>
                <w:bCs/>
                <w:sz w:val="24"/>
                <w:szCs w:val="24"/>
              </w:rPr>
              <w:t>Title</w:t>
            </w:r>
          </w:p>
        </w:tc>
        <w:tc>
          <w:tcPr>
            <w:tcW w:w="1080" w:type="dxa"/>
            <w:vMerge w:val="restart"/>
            <w:shd w:val="clear" w:color="auto" w:fill="D0CECE" w:themeFill="background2" w:themeFillShade="E6"/>
            <w:vAlign w:val="center"/>
          </w:tcPr>
          <w:p w14:paraId="7CD8B7CF" w14:textId="475F0FF7" w:rsidR="007A07E0" w:rsidRPr="007A07E0" w:rsidRDefault="007A07E0" w:rsidP="008F09A1">
            <w:pPr>
              <w:jc w:val="center"/>
              <w:rPr>
                <w:b/>
                <w:bCs/>
                <w:sz w:val="24"/>
                <w:szCs w:val="24"/>
              </w:rPr>
            </w:pPr>
            <w:r w:rsidRPr="007A07E0">
              <w:rPr>
                <w:b/>
                <w:bCs/>
                <w:sz w:val="24"/>
                <w:szCs w:val="24"/>
              </w:rPr>
              <w:t>Track</w:t>
            </w:r>
            <w:r w:rsidR="00E57FDE">
              <w:rPr>
                <w:b/>
                <w:bCs/>
                <w:sz w:val="24"/>
                <w:szCs w:val="24"/>
              </w:rPr>
              <w:t xml:space="preserve"> </w:t>
            </w:r>
            <w:r w:rsidR="008F09A1" w:rsidRPr="008F09A1">
              <w:rPr>
                <w:b/>
                <w:bCs/>
                <w:sz w:val="24"/>
                <w:szCs w:val="24"/>
                <w:vertAlign w:val="superscript"/>
              </w:rPr>
              <w:t>a</w:t>
            </w:r>
          </w:p>
        </w:tc>
        <w:tc>
          <w:tcPr>
            <w:tcW w:w="1080" w:type="dxa"/>
            <w:vMerge w:val="restart"/>
            <w:shd w:val="clear" w:color="auto" w:fill="D0CECE" w:themeFill="background2" w:themeFillShade="E6"/>
            <w:vAlign w:val="center"/>
          </w:tcPr>
          <w:p w14:paraId="21107B02" w14:textId="24F455AB" w:rsidR="007A07E0" w:rsidRPr="007A07E0" w:rsidRDefault="007A07E0" w:rsidP="008F09A1">
            <w:pPr>
              <w:jc w:val="center"/>
              <w:rPr>
                <w:b/>
                <w:bCs/>
                <w:sz w:val="24"/>
                <w:szCs w:val="24"/>
              </w:rPr>
            </w:pPr>
            <w:r w:rsidRPr="007A07E0">
              <w:rPr>
                <w:b/>
                <w:bCs/>
                <w:sz w:val="24"/>
                <w:szCs w:val="24"/>
              </w:rPr>
              <w:t>Model</w:t>
            </w:r>
            <w:r w:rsidR="00E57FDE">
              <w:rPr>
                <w:b/>
                <w:bCs/>
                <w:sz w:val="24"/>
                <w:szCs w:val="24"/>
              </w:rPr>
              <w:t xml:space="preserve"> </w:t>
            </w:r>
            <w:r w:rsidR="008F09A1" w:rsidRPr="008F09A1">
              <w:rPr>
                <w:b/>
                <w:bCs/>
                <w:sz w:val="24"/>
                <w:szCs w:val="24"/>
                <w:vertAlign w:val="superscript"/>
              </w:rPr>
              <w:t>b</w:t>
            </w:r>
          </w:p>
        </w:tc>
        <w:tc>
          <w:tcPr>
            <w:tcW w:w="4680" w:type="dxa"/>
            <w:gridSpan w:val="2"/>
            <w:shd w:val="clear" w:color="auto" w:fill="D0CECE" w:themeFill="background2" w:themeFillShade="E6"/>
          </w:tcPr>
          <w:p w14:paraId="46A3807D" w14:textId="1A8E8468" w:rsidR="007A07E0" w:rsidRPr="007A07E0" w:rsidRDefault="007A07E0" w:rsidP="007A07E0">
            <w:pPr>
              <w:jc w:val="center"/>
              <w:rPr>
                <w:b/>
                <w:bCs/>
                <w:sz w:val="24"/>
                <w:szCs w:val="24"/>
              </w:rPr>
            </w:pPr>
            <w:r w:rsidRPr="007A07E0">
              <w:rPr>
                <w:b/>
                <w:bCs/>
                <w:sz w:val="24"/>
                <w:szCs w:val="24"/>
              </w:rPr>
              <w:t>Status</w:t>
            </w:r>
          </w:p>
        </w:tc>
      </w:tr>
      <w:tr w:rsidR="007A07E0" w:rsidRPr="007A07E0" w14:paraId="35D1765C" w14:textId="617EF73A" w:rsidTr="00E57FDE">
        <w:tc>
          <w:tcPr>
            <w:tcW w:w="1615" w:type="dxa"/>
            <w:vMerge/>
          </w:tcPr>
          <w:p w14:paraId="417360A9" w14:textId="77F8E059" w:rsidR="007A07E0" w:rsidRPr="007A07E0" w:rsidRDefault="007A07E0" w:rsidP="007A07E0">
            <w:pPr>
              <w:spacing w:after="240"/>
              <w:jc w:val="center"/>
              <w:rPr>
                <w:b/>
                <w:bCs/>
                <w:sz w:val="24"/>
                <w:szCs w:val="24"/>
              </w:rPr>
            </w:pPr>
          </w:p>
        </w:tc>
        <w:tc>
          <w:tcPr>
            <w:tcW w:w="5580" w:type="dxa"/>
            <w:vMerge/>
          </w:tcPr>
          <w:p w14:paraId="02500200" w14:textId="588BA4EB" w:rsidR="007A07E0" w:rsidRPr="007A07E0" w:rsidRDefault="007A07E0" w:rsidP="007A07E0">
            <w:pPr>
              <w:spacing w:after="240"/>
              <w:jc w:val="center"/>
              <w:rPr>
                <w:b/>
                <w:bCs/>
                <w:sz w:val="24"/>
                <w:szCs w:val="24"/>
              </w:rPr>
            </w:pPr>
          </w:p>
        </w:tc>
        <w:tc>
          <w:tcPr>
            <w:tcW w:w="1080" w:type="dxa"/>
            <w:vMerge/>
          </w:tcPr>
          <w:p w14:paraId="65F60EAE" w14:textId="7691BF09" w:rsidR="007A07E0" w:rsidRPr="007A07E0" w:rsidRDefault="007A07E0" w:rsidP="008F09A1">
            <w:pPr>
              <w:jc w:val="center"/>
              <w:rPr>
                <w:b/>
                <w:bCs/>
                <w:sz w:val="24"/>
                <w:szCs w:val="24"/>
              </w:rPr>
            </w:pPr>
          </w:p>
        </w:tc>
        <w:tc>
          <w:tcPr>
            <w:tcW w:w="1080" w:type="dxa"/>
            <w:vMerge/>
          </w:tcPr>
          <w:p w14:paraId="63EB9188" w14:textId="0C4739E7" w:rsidR="007A07E0" w:rsidRPr="007A07E0" w:rsidRDefault="007A07E0" w:rsidP="008F09A1">
            <w:pPr>
              <w:jc w:val="center"/>
              <w:rPr>
                <w:b/>
                <w:bCs/>
                <w:sz w:val="24"/>
                <w:szCs w:val="24"/>
              </w:rPr>
            </w:pPr>
          </w:p>
        </w:tc>
        <w:tc>
          <w:tcPr>
            <w:tcW w:w="2340" w:type="dxa"/>
            <w:shd w:val="clear" w:color="auto" w:fill="D0CECE" w:themeFill="background2" w:themeFillShade="E6"/>
          </w:tcPr>
          <w:p w14:paraId="52695BDE" w14:textId="18D66AA4" w:rsidR="007A07E0" w:rsidRPr="007A07E0" w:rsidRDefault="007A07E0" w:rsidP="007A07E0">
            <w:pPr>
              <w:jc w:val="center"/>
              <w:rPr>
                <w:b/>
                <w:bCs/>
                <w:sz w:val="24"/>
                <w:szCs w:val="24"/>
              </w:rPr>
            </w:pPr>
            <w:r w:rsidRPr="007A07E0">
              <w:rPr>
                <w:b/>
                <w:bCs/>
                <w:sz w:val="24"/>
                <w:szCs w:val="24"/>
              </w:rPr>
              <w:t>April 2019</w:t>
            </w:r>
          </w:p>
        </w:tc>
        <w:tc>
          <w:tcPr>
            <w:tcW w:w="2340" w:type="dxa"/>
            <w:shd w:val="clear" w:color="auto" w:fill="D0CECE" w:themeFill="background2" w:themeFillShade="E6"/>
          </w:tcPr>
          <w:p w14:paraId="2EF63163" w14:textId="76DB3F27" w:rsidR="007A07E0" w:rsidRPr="007A07E0" w:rsidRDefault="007A07E0" w:rsidP="007A07E0">
            <w:pPr>
              <w:jc w:val="center"/>
              <w:rPr>
                <w:b/>
                <w:bCs/>
                <w:sz w:val="24"/>
                <w:szCs w:val="24"/>
              </w:rPr>
            </w:pPr>
            <w:r w:rsidRPr="007A07E0">
              <w:rPr>
                <w:b/>
                <w:bCs/>
                <w:sz w:val="24"/>
                <w:szCs w:val="24"/>
              </w:rPr>
              <w:t>June 2020</w:t>
            </w:r>
          </w:p>
        </w:tc>
      </w:tr>
      <w:tr w:rsidR="0017696E" w14:paraId="579D4DD6" w14:textId="3792416B" w:rsidTr="00E57FDE">
        <w:tc>
          <w:tcPr>
            <w:tcW w:w="1615" w:type="dxa"/>
          </w:tcPr>
          <w:p w14:paraId="3FB687A1" w14:textId="2B62591B" w:rsidR="0017696E" w:rsidRDefault="0017696E" w:rsidP="008F09A1">
            <w:pPr>
              <w:rPr>
                <w:sz w:val="24"/>
                <w:szCs w:val="24"/>
              </w:rPr>
            </w:pPr>
            <w:r>
              <w:rPr>
                <w:sz w:val="24"/>
                <w:szCs w:val="24"/>
              </w:rPr>
              <w:t>K34.2016.1</w:t>
            </w:r>
            <w:r w:rsidR="00E57FDE">
              <w:rPr>
                <w:sz w:val="24"/>
                <w:szCs w:val="24"/>
              </w:rPr>
              <w:t xml:space="preserve"> </w:t>
            </w:r>
            <w:r w:rsidR="008F09A1">
              <w:rPr>
                <w:sz w:val="24"/>
                <w:szCs w:val="24"/>
                <w:vertAlign w:val="superscript"/>
              </w:rPr>
              <w:t>c</w:t>
            </w:r>
          </w:p>
        </w:tc>
        <w:tc>
          <w:tcPr>
            <w:tcW w:w="5580" w:type="dxa"/>
          </w:tcPr>
          <w:p w14:paraId="587E0E05" w14:textId="17CF5930" w:rsidR="0017696E" w:rsidRDefault="0017696E" w:rsidP="008F09A1">
            <w:pPr>
              <w:rPr>
                <w:sz w:val="24"/>
                <w:szCs w:val="24"/>
              </w:rPr>
            </w:pPr>
            <w:r>
              <w:rPr>
                <w:sz w:val="24"/>
                <w:szCs w:val="24"/>
              </w:rPr>
              <w:t>Assay of KHP</w:t>
            </w:r>
          </w:p>
        </w:tc>
        <w:tc>
          <w:tcPr>
            <w:tcW w:w="1080" w:type="dxa"/>
          </w:tcPr>
          <w:p w14:paraId="6B4354B9" w14:textId="17277AE5" w:rsidR="0017696E" w:rsidRDefault="0017696E" w:rsidP="008F09A1">
            <w:pPr>
              <w:jc w:val="center"/>
              <w:rPr>
                <w:sz w:val="24"/>
                <w:szCs w:val="24"/>
              </w:rPr>
            </w:pPr>
            <w:r>
              <w:rPr>
                <w:sz w:val="24"/>
                <w:szCs w:val="24"/>
              </w:rPr>
              <w:t>A</w:t>
            </w:r>
          </w:p>
        </w:tc>
        <w:tc>
          <w:tcPr>
            <w:tcW w:w="1080" w:type="dxa"/>
          </w:tcPr>
          <w:p w14:paraId="7533E4CB" w14:textId="60A25BB0" w:rsidR="0017696E" w:rsidRDefault="0017696E" w:rsidP="008F09A1">
            <w:pPr>
              <w:jc w:val="center"/>
              <w:rPr>
                <w:sz w:val="24"/>
                <w:szCs w:val="24"/>
              </w:rPr>
            </w:pPr>
            <w:r>
              <w:rPr>
                <w:sz w:val="24"/>
                <w:szCs w:val="24"/>
              </w:rPr>
              <w:t>1</w:t>
            </w:r>
          </w:p>
        </w:tc>
        <w:tc>
          <w:tcPr>
            <w:tcW w:w="2340" w:type="dxa"/>
          </w:tcPr>
          <w:p w14:paraId="76ECAA2F" w14:textId="730A6BD8" w:rsidR="0017696E" w:rsidRDefault="00240C16" w:rsidP="008F09A1">
            <w:pPr>
              <w:rPr>
                <w:sz w:val="24"/>
                <w:szCs w:val="24"/>
              </w:rPr>
            </w:pPr>
            <w:r>
              <w:rPr>
                <w:sz w:val="24"/>
                <w:szCs w:val="24"/>
              </w:rPr>
              <w:t xml:space="preserve">Protocol </w:t>
            </w:r>
            <w:r w:rsidR="007A07E0">
              <w:rPr>
                <w:sz w:val="24"/>
                <w:szCs w:val="24"/>
              </w:rPr>
              <w:t xml:space="preserve">and sample </w:t>
            </w:r>
            <w:r>
              <w:rPr>
                <w:sz w:val="24"/>
                <w:szCs w:val="24"/>
              </w:rPr>
              <w:t>development</w:t>
            </w:r>
          </w:p>
        </w:tc>
        <w:tc>
          <w:tcPr>
            <w:tcW w:w="2340" w:type="dxa"/>
          </w:tcPr>
          <w:p w14:paraId="7049BB24" w14:textId="1D987B88" w:rsidR="0017696E" w:rsidRDefault="00240C16" w:rsidP="008F09A1">
            <w:pPr>
              <w:rPr>
                <w:sz w:val="24"/>
                <w:szCs w:val="24"/>
              </w:rPr>
            </w:pPr>
            <w:r>
              <w:rPr>
                <w:sz w:val="24"/>
                <w:szCs w:val="24"/>
              </w:rPr>
              <w:t>Draft A</w:t>
            </w:r>
          </w:p>
        </w:tc>
      </w:tr>
      <w:tr w:rsidR="0017696E" w14:paraId="491E3913" w14:textId="599F73CE" w:rsidTr="00E57FDE">
        <w:tc>
          <w:tcPr>
            <w:tcW w:w="1615" w:type="dxa"/>
          </w:tcPr>
          <w:p w14:paraId="48BFEB06" w14:textId="4CC47DBF" w:rsidR="0017696E" w:rsidRDefault="00240C16" w:rsidP="008F09A1">
            <w:pPr>
              <w:rPr>
                <w:sz w:val="24"/>
                <w:szCs w:val="24"/>
              </w:rPr>
            </w:pPr>
            <w:r>
              <w:rPr>
                <w:sz w:val="24"/>
                <w:szCs w:val="24"/>
              </w:rPr>
              <w:t>K143/P181</w:t>
            </w:r>
          </w:p>
        </w:tc>
        <w:tc>
          <w:tcPr>
            <w:tcW w:w="5580" w:type="dxa"/>
          </w:tcPr>
          <w:p w14:paraId="05A82EAF" w14:textId="20F5EDF6" w:rsidR="0017696E" w:rsidRDefault="00240C16" w:rsidP="008F09A1">
            <w:pPr>
              <w:rPr>
                <w:sz w:val="24"/>
                <w:szCs w:val="24"/>
              </w:rPr>
            </w:pPr>
            <w:r>
              <w:rPr>
                <w:sz w:val="24"/>
                <w:szCs w:val="24"/>
              </w:rPr>
              <w:t>Copper calibration solutions</w:t>
            </w:r>
          </w:p>
        </w:tc>
        <w:tc>
          <w:tcPr>
            <w:tcW w:w="1080" w:type="dxa"/>
          </w:tcPr>
          <w:p w14:paraId="1C7E1F7C" w14:textId="15B6C6D8" w:rsidR="0017696E" w:rsidRDefault="00240C16" w:rsidP="008F09A1">
            <w:pPr>
              <w:jc w:val="center"/>
              <w:rPr>
                <w:sz w:val="24"/>
                <w:szCs w:val="24"/>
              </w:rPr>
            </w:pPr>
            <w:r>
              <w:rPr>
                <w:sz w:val="24"/>
                <w:szCs w:val="24"/>
              </w:rPr>
              <w:t>A</w:t>
            </w:r>
          </w:p>
        </w:tc>
        <w:tc>
          <w:tcPr>
            <w:tcW w:w="1080" w:type="dxa"/>
          </w:tcPr>
          <w:p w14:paraId="5ABD781D" w14:textId="1FF70318" w:rsidR="0017696E" w:rsidRDefault="00240C16" w:rsidP="008F09A1">
            <w:pPr>
              <w:jc w:val="center"/>
              <w:rPr>
                <w:sz w:val="24"/>
                <w:szCs w:val="24"/>
              </w:rPr>
            </w:pPr>
            <w:r>
              <w:rPr>
                <w:sz w:val="24"/>
                <w:szCs w:val="24"/>
              </w:rPr>
              <w:t>2</w:t>
            </w:r>
          </w:p>
        </w:tc>
        <w:tc>
          <w:tcPr>
            <w:tcW w:w="2340" w:type="dxa"/>
          </w:tcPr>
          <w:p w14:paraId="20139976" w14:textId="12239385" w:rsidR="0017696E" w:rsidRDefault="00240C16" w:rsidP="008F09A1">
            <w:pPr>
              <w:rPr>
                <w:sz w:val="24"/>
                <w:szCs w:val="24"/>
              </w:rPr>
            </w:pPr>
            <w:r>
              <w:rPr>
                <w:sz w:val="24"/>
                <w:szCs w:val="24"/>
              </w:rPr>
              <w:t>Draft A</w:t>
            </w:r>
          </w:p>
        </w:tc>
        <w:tc>
          <w:tcPr>
            <w:tcW w:w="2340" w:type="dxa"/>
          </w:tcPr>
          <w:p w14:paraId="2AF30BF3" w14:textId="6102D759" w:rsidR="0017696E" w:rsidRDefault="00240C16" w:rsidP="008F09A1">
            <w:pPr>
              <w:rPr>
                <w:sz w:val="24"/>
                <w:szCs w:val="24"/>
              </w:rPr>
            </w:pPr>
            <w:r>
              <w:rPr>
                <w:sz w:val="24"/>
                <w:szCs w:val="24"/>
              </w:rPr>
              <w:t>Draft B</w:t>
            </w:r>
          </w:p>
        </w:tc>
      </w:tr>
      <w:tr w:rsidR="0017696E" w14:paraId="1E871A51" w14:textId="5B84E091" w:rsidTr="00E57FDE">
        <w:tc>
          <w:tcPr>
            <w:tcW w:w="1615" w:type="dxa"/>
          </w:tcPr>
          <w:p w14:paraId="278078E7" w14:textId="5482F128" w:rsidR="0017696E" w:rsidRDefault="00240C16" w:rsidP="008F09A1">
            <w:pPr>
              <w:rPr>
                <w:sz w:val="24"/>
                <w:szCs w:val="24"/>
              </w:rPr>
            </w:pPr>
            <w:r>
              <w:rPr>
                <w:sz w:val="24"/>
                <w:szCs w:val="24"/>
              </w:rPr>
              <w:t>K144/P182</w:t>
            </w:r>
          </w:p>
        </w:tc>
        <w:tc>
          <w:tcPr>
            <w:tcW w:w="5580" w:type="dxa"/>
          </w:tcPr>
          <w:p w14:paraId="06AAF815" w14:textId="53D80E6E" w:rsidR="0017696E" w:rsidRDefault="00240C16" w:rsidP="008F09A1">
            <w:pPr>
              <w:rPr>
                <w:sz w:val="24"/>
                <w:szCs w:val="24"/>
              </w:rPr>
            </w:pPr>
            <w:r>
              <w:rPr>
                <w:sz w:val="24"/>
                <w:szCs w:val="24"/>
              </w:rPr>
              <w:t>Trace elements in alumina powder</w:t>
            </w:r>
          </w:p>
        </w:tc>
        <w:tc>
          <w:tcPr>
            <w:tcW w:w="1080" w:type="dxa"/>
          </w:tcPr>
          <w:p w14:paraId="38287911" w14:textId="3E6A7DDF" w:rsidR="0017696E" w:rsidRDefault="00240C16" w:rsidP="008F09A1">
            <w:pPr>
              <w:jc w:val="center"/>
              <w:rPr>
                <w:sz w:val="24"/>
                <w:szCs w:val="24"/>
              </w:rPr>
            </w:pPr>
            <w:r>
              <w:rPr>
                <w:sz w:val="24"/>
                <w:szCs w:val="24"/>
              </w:rPr>
              <w:t>A</w:t>
            </w:r>
          </w:p>
        </w:tc>
        <w:tc>
          <w:tcPr>
            <w:tcW w:w="1080" w:type="dxa"/>
          </w:tcPr>
          <w:p w14:paraId="262FF5E7" w14:textId="166BB4E6" w:rsidR="0017696E" w:rsidRDefault="00240C16" w:rsidP="008F09A1">
            <w:pPr>
              <w:jc w:val="center"/>
              <w:rPr>
                <w:sz w:val="24"/>
                <w:szCs w:val="24"/>
              </w:rPr>
            </w:pPr>
            <w:r>
              <w:rPr>
                <w:sz w:val="24"/>
                <w:szCs w:val="24"/>
              </w:rPr>
              <w:t>1</w:t>
            </w:r>
          </w:p>
        </w:tc>
        <w:tc>
          <w:tcPr>
            <w:tcW w:w="2340" w:type="dxa"/>
          </w:tcPr>
          <w:p w14:paraId="67FC0003" w14:textId="5703DDAE" w:rsidR="0017696E" w:rsidRDefault="00240C16" w:rsidP="008F09A1">
            <w:pPr>
              <w:rPr>
                <w:sz w:val="24"/>
                <w:szCs w:val="24"/>
              </w:rPr>
            </w:pPr>
            <w:r>
              <w:rPr>
                <w:sz w:val="24"/>
                <w:szCs w:val="24"/>
              </w:rPr>
              <w:t>Measurement</w:t>
            </w:r>
          </w:p>
        </w:tc>
        <w:tc>
          <w:tcPr>
            <w:tcW w:w="2340" w:type="dxa"/>
          </w:tcPr>
          <w:p w14:paraId="499970BF" w14:textId="0B9C5C63" w:rsidR="0017696E" w:rsidRDefault="00240C16" w:rsidP="008F09A1">
            <w:pPr>
              <w:rPr>
                <w:sz w:val="24"/>
                <w:szCs w:val="24"/>
              </w:rPr>
            </w:pPr>
            <w:r>
              <w:rPr>
                <w:sz w:val="24"/>
                <w:szCs w:val="24"/>
              </w:rPr>
              <w:t>Draft A</w:t>
            </w:r>
          </w:p>
        </w:tc>
      </w:tr>
      <w:tr w:rsidR="0017696E" w14:paraId="5AB1B551" w14:textId="300B3EB8" w:rsidTr="00E57FDE">
        <w:tc>
          <w:tcPr>
            <w:tcW w:w="1615" w:type="dxa"/>
          </w:tcPr>
          <w:p w14:paraId="4009617A" w14:textId="28FDCB05" w:rsidR="0017696E" w:rsidRDefault="00240C16" w:rsidP="008F09A1">
            <w:pPr>
              <w:rPr>
                <w:sz w:val="24"/>
                <w:szCs w:val="24"/>
              </w:rPr>
            </w:pPr>
            <w:r>
              <w:rPr>
                <w:sz w:val="24"/>
                <w:szCs w:val="24"/>
              </w:rPr>
              <w:t>K151/P</w:t>
            </w:r>
            <w:r w:rsidR="00B93BEC">
              <w:rPr>
                <w:sz w:val="24"/>
                <w:szCs w:val="24"/>
              </w:rPr>
              <w:t>191</w:t>
            </w:r>
            <w:r w:rsidR="00E57FDE">
              <w:rPr>
                <w:sz w:val="24"/>
                <w:szCs w:val="24"/>
              </w:rPr>
              <w:t xml:space="preserve"> </w:t>
            </w:r>
            <w:r w:rsidR="00E57FDE" w:rsidRPr="00E57FDE">
              <w:rPr>
                <w:sz w:val="24"/>
                <w:szCs w:val="24"/>
                <w:vertAlign w:val="superscript"/>
              </w:rPr>
              <w:t>d</w:t>
            </w:r>
          </w:p>
        </w:tc>
        <w:tc>
          <w:tcPr>
            <w:tcW w:w="5580" w:type="dxa"/>
          </w:tcPr>
          <w:p w14:paraId="42ED6D2C" w14:textId="77FFC91C" w:rsidR="0017696E" w:rsidRDefault="00240C16" w:rsidP="008F09A1">
            <w:pPr>
              <w:rPr>
                <w:sz w:val="24"/>
                <w:szCs w:val="24"/>
              </w:rPr>
            </w:pPr>
            <w:r w:rsidRPr="00240C16">
              <w:rPr>
                <w:sz w:val="24"/>
                <w:szCs w:val="24"/>
              </w:rPr>
              <w:t>Mass fraction of a purity-assessed recombinant protein in an aqueous calibration solution using amino acid-based ID-LC-MS and/or sulfur-based ID-ICP-MS</w:t>
            </w:r>
          </w:p>
        </w:tc>
        <w:tc>
          <w:tcPr>
            <w:tcW w:w="1080" w:type="dxa"/>
          </w:tcPr>
          <w:p w14:paraId="77A6687A" w14:textId="7A92D45D" w:rsidR="0017696E" w:rsidRDefault="00B93BEC" w:rsidP="008F09A1">
            <w:pPr>
              <w:jc w:val="center"/>
              <w:rPr>
                <w:sz w:val="24"/>
                <w:szCs w:val="24"/>
              </w:rPr>
            </w:pPr>
            <w:r>
              <w:rPr>
                <w:sz w:val="24"/>
                <w:szCs w:val="24"/>
              </w:rPr>
              <w:t>A</w:t>
            </w:r>
          </w:p>
        </w:tc>
        <w:tc>
          <w:tcPr>
            <w:tcW w:w="1080" w:type="dxa"/>
          </w:tcPr>
          <w:p w14:paraId="3272C07D" w14:textId="009DA704" w:rsidR="0017696E" w:rsidRDefault="00B93BEC" w:rsidP="008F09A1">
            <w:pPr>
              <w:jc w:val="center"/>
              <w:rPr>
                <w:sz w:val="24"/>
                <w:szCs w:val="24"/>
              </w:rPr>
            </w:pPr>
            <w:r>
              <w:rPr>
                <w:sz w:val="24"/>
                <w:szCs w:val="24"/>
              </w:rPr>
              <w:t>1</w:t>
            </w:r>
          </w:p>
        </w:tc>
        <w:tc>
          <w:tcPr>
            <w:tcW w:w="2340" w:type="dxa"/>
          </w:tcPr>
          <w:p w14:paraId="29820162" w14:textId="779FE0D1" w:rsidR="0017696E" w:rsidRDefault="00B93BEC" w:rsidP="008F09A1">
            <w:pPr>
              <w:rPr>
                <w:sz w:val="24"/>
                <w:szCs w:val="24"/>
              </w:rPr>
            </w:pPr>
            <w:r>
              <w:rPr>
                <w:sz w:val="24"/>
                <w:szCs w:val="24"/>
              </w:rPr>
              <w:t>Draft B</w:t>
            </w:r>
          </w:p>
        </w:tc>
        <w:tc>
          <w:tcPr>
            <w:tcW w:w="2340" w:type="dxa"/>
          </w:tcPr>
          <w:p w14:paraId="7B7BE29E" w14:textId="50569552" w:rsidR="0017696E" w:rsidRDefault="00B93BEC" w:rsidP="008F09A1">
            <w:pPr>
              <w:rPr>
                <w:sz w:val="24"/>
                <w:szCs w:val="24"/>
              </w:rPr>
            </w:pPr>
            <w:r>
              <w:rPr>
                <w:sz w:val="24"/>
                <w:szCs w:val="24"/>
              </w:rPr>
              <w:t>Draft B</w:t>
            </w:r>
          </w:p>
        </w:tc>
      </w:tr>
      <w:tr w:rsidR="0017696E" w14:paraId="08E8BC8F" w14:textId="3C8702A4" w:rsidTr="00E57FDE">
        <w:tc>
          <w:tcPr>
            <w:tcW w:w="1615" w:type="dxa"/>
          </w:tcPr>
          <w:p w14:paraId="6E85D03F" w14:textId="0710C262" w:rsidR="0017696E" w:rsidRDefault="00B93BEC" w:rsidP="008F09A1">
            <w:pPr>
              <w:rPr>
                <w:sz w:val="24"/>
                <w:szCs w:val="24"/>
              </w:rPr>
            </w:pPr>
            <w:r>
              <w:rPr>
                <w:sz w:val="24"/>
                <w:szCs w:val="24"/>
              </w:rPr>
              <w:t>K152/P192</w:t>
            </w:r>
            <w:r w:rsidR="00E57FDE">
              <w:rPr>
                <w:sz w:val="24"/>
                <w:szCs w:val="24"/>
                <w:vertAlign w:val="superscript"/>
              </w:rPr>
              <w:t xml:space="preserve"> </w:t>
            </w:r>
            <w:r w:rsidR="00E57FDE">
              <w:rPr>
                <w:sz w:val="24"/>
                <w:szCs w:val="24"/>
                <w:vertAlign w:val="superscript"/>
              </w:rPr>
              <w:t>c</w:t>
            </w:r>
          </w:p>
        </w:tc>
        <w:tc>
          <w:tcPr>
            <w:tcW w:w="5580" w:type="dxa"/>
          </w:tcPr>
          <w:p w14:paraId="1E92E957" w14:textId="08D5CC51" w:rsidR="0017696E" w:rsidRDefault="00B93BEC" w:rsidP="008F09A1">
            <w:pPr>
              <w:rPr>
                <w:sz w:val="24"/>
                <w:szCs w:val="24"/>
              </w:rPr>
            </w:pPr>
            <w:r w:rsidRPr="00B93BEC">
              <w:rPr>
                <w:sz w:val="24"/>
                <w:szCs w:val="24"/>
              </w:rPr>
              <w:t>Assay and purity of potassium iodate</w:t>
            </w:r>
          </w:p>
        </w:tc>
        <w:tc>
          <w:tcPr>
            <w:tcW w:w="1080" w:type="dxa"/>
          </w:tcPr>
          <w:p w14:paraId="7E1C5C51" w14:textId="25667E8B" w:rsidR="0017696E" w:rsidRDefault="00B93BEC" w:rsidP="008F09A1">
            <w:pPr>
              <w:jc w:val="center"/>
              <w:rPr>
                <w:sz w:val="24"/>
                <w:szCs w:val="24"/>
              </w:rPr>
            </w:pPr>
            <w:r>
              <w:rPr>
                <w:sz w:val="24"/>
                <w:szCs w:val="24"/>
              </w:rPr>
              <w:t>A</w:t>
            </w:r>
          </w:p>
        </w:tc>
        <w:tc>
          <w:tcPr>
            <w:tcW w:w="1080" w:type="dxa"/>
          </w:tcPr>
          <w:p w14:paraId="3A861E6A" w14:textId="681155FD" w:rsidR="0017696E" w:rsidRDefault="00B93BEC" w:rsidP="008F09A1">
            <w:pPr>
              <w:jc w:val="center"/>
              <w:rPr>
                <w:sz w:val="24"/>
                <w:szCs w:val="24"/>
              </w:rPr>
            </w:pPr>
            <w:r>
              <w:rPr>
                <w:sz w:val="24"/>
                <w:szCs w:val="24"/>
              </w:rPr>
              <w:t>1</w:t>
            </w:r>
          </w:p>
        </w:tc>
        <w:tc>
          <w:tcPr>
            <w:tcW w:w="2340" w:type="dxa"/>
          </w:tcPr>
          <w:p w14:paraId="050E6A2D" w14:textId="348ECF29" w:rsidR="0017696E" w:rsidRDefault="00B93BEC" w:rsidP="008F09A1">
            <w:pPr>
              <w:rPr>
                <w:sz w:val="24"/>
                <w:szCs w:val="24"/>
              </w:rPr>
            </w:pPr>
            <w:r>
              <w:rPr>
                <w:sz w:val="24"/>
                <w:szCs w:val="24"/>
              </w:rPr>
              <w:t>Draft A</w:t>
            </w:r>
          </w:p>
        </w:tc>
        <w:tc>
          <w:tcPr>
            <w:tcW w:w="2340" w:type="dxa"/>
          </w:tcPr>
          <w:p w14:paraId="150C0356" w14:textId="332DAFFB" w:rsidR="0017696E" w:rsidRDefault="00B93BEC" w:rsidP="008F09A1">
            <w:pPr>
              <w:rPr>
                <w:sz w:val="24"/>
                <w:szCs w:val="24"/>
              </w:rPr>
            </w:pPr>
            <w:r>
              <w:rPr>
                <w:sz w:val="24"/>
                <w:szCs w:val="24"/>
              </w:rPr>
              <w:t>Draft B</w:t>
            </w:r>
          </w:p>
        </w:tc>
      </w:tr>
      <w:tr w:rsidR="0017696E" w14:paraId="467FA7D3" w14:textId="349AB9D9" w:rsidTr="00E57FDE">
        <w:tc>
          <w:tcPr>
            <w:tcW w:w="1615" w:type="dxa"/>
          </w:tcPr>
          <w:p w14:paraId="639663E8" w14:textId="4A7719BE" w:rsidR="0017696E" w:rsidRDefault="002C39F3" w:rsidP="008F09A1">
            <w:pPr>
              <w:rPr>
                <w:sz w:val="24"/>
                <w:szCs w:val="24"/>
              </w:rPr>
            </w:pPr>
            <w:r>
              <w:rPr>
                <w:sz w:val="24"/>
                <w:szCs w:val="24"/>
              </w:rPr>
              <w:t>K155/P196</w:t>
            </w:r>
          </w:p>
        </w:tc>
        <w:tc>
          <w:tcPr>
            <w:tcW w:w="5580" w:type="dxa"/>
          </w:tcPr>
          <w:p w14:paraId="1B83B0B2" w14:textId="4657F001" w:rsidR="0017696E" w:rsidRDefault="002C39F3" w:rsidP="008F09A1">
            <w:pPr>
              <w:rPr>
                <w:sz w:val="24"/>
                <w:szCs w:val="24"/>
              </w:rPr>
            </w:pPr>
            <w:r>
              <w:rPr>
                <w:sz w:val="24"/>
                <w:szCs w:val="24"/>
              </w:rPr>
              <w:t>Elements in seawater</w:t>
            </w:r>
          </w:p>
        </w:tc>
        <w:tc>
          <w:tcPr>
            <w:tcW w:w="1080" w:type="dxa"/>
          </w:tcPr>
          <w:p w14:paraId="47B9F906" w14:textId="369F3DFD" w:rsidR="0017696E" w:rsidRDefault="002C39F3" w:rsidP="008F09A1">
            <w:pPr>
              <w:jc w:val="center"/>
              <w:rPr>
                <w:sz w:val="24"/>
                <w:szCs w:val="24"/>
              </w:rPr>
            </w:pPr>
            <w:r>
              <w:rPr>
                <w:sz w:val="24"/>
                <w:szCs w:val="24"/>
              </w:rPr>
              <w:t>A</w:t>
            </w:r>
          </w:p>
        </w:tc>
        <w:tc>
          <w:tcPr>
            <w:tcW w:w="1080" w:type="dxa"/>
          </w:tcPr>
          <w:p w14:paraId="0E9EA7C5" w14:textId="1619F4C5" w:rsidR="0017696E" w:rsidRDefault="002C39F3" w:rsidP="008F09A1">
            <w:pPr>
              <w:jc w:val="center"/>
              <w:rPr>
                <w:sz w:val="24"/>
                <w:szCs w:val="24"/>
              </w:rPr>
            </w:pPr>
            <w:r>
              <w:rPr>
                <w:sz w:val="24"/>
                <w:szCs w:val="24"/>
              </w:rPr>
              <w:t>1</w:t>
            </w:r>
          </w:p>
        </w:tc>
        <w:tc>
          <w:tcPr>
            <w:tcW w:w="2340" w:type="dxa"/>
          </w:tcPr>
          <w:p w14:paraId="261E6858" w14:textId="0626AD27" w:rsidR="0017696E" w:rsidRDefault="007A07E0" w:rsidP="008F09A1">
            <w:pPr>
              <w:rPr>
                <w:sz w:val="24"/>
                <w:szCs w:val="24"/>
              </w:rPr>
            </w:pPr>
            <w:r>
              <w:rPr>
                <w:sz w:val="24"/>
                <w:szCs w:val="24"/>
              </w:rPr>
              <w:t>Protocol and sample development</w:t>
            </w:r>
          </w:p>
        </w:tc>
        <w:tc>
          <w:tcPr>
            <w:tcW w:w="2340" w:type="dxa"/>
          </w:tcPr>
          <w:p w14:paraId="7795BCFA" w14:textId="6D1EE7EB" w:rsidR="0017696E" w:rsidRDefault="002C39F3" w:rsidP="008F09A1">
            <w:pPr>
              <w:rPr>
                <w:sz w:val="24"/>
                <w:szCs w:val="24"/>
              </w:rPr>
            </w:pPr>
            <w:r>
              <w:rPr>
                <w:sz w:val="24"/>
                <w:szCs w:val="24"/>
              </w:rPr>
              <w:t>Measurement</w:t>
            </w:r>
          </w:p>
        </w:tc>
      </w:tr>
      <w:tr w:rsidR="0017696E" w14:paraId="5FEF0A85" w14:textId="44CE68DB" w:rsidTr="00E57FDE">
        <w:tc>
          <w:tcPr>
            <w:tcW w:w="1615" w:type="dxa"/>
          </w:tcPr>
          <w:p w14:paraId="2A561DCC" w14:textId="6833D1E6" w:rsidR="0017696E" w:rsidRDefault="002C39F3" w:rsidP="008F09A1">
            <w:pPr>
              <w:rPr>
                <w:sz w:val="24"/>
                <w:szCs w:val="24"/>
              </w:rPr>
            </w:pPr>
            <w:r>
              <w:rPr>
                <w:sz w:val="24"/>
                <w:szCs w:val="24"/>
              </w:rPr>
              <w:t>K158/P200</w:t>
            </w:r>
          </w:p>
        </w:tc>
        <w:tc>
          <w:tcPr>
            <w:tcW w:w="5580" w:type="dxa"/>
          </w:tcPr>
          <w:p w14:paraId="44C1F446" w14:textId="7ABD5D25" w:rsidR="0017696E" w:rsidRDefault="002C39F3" w:rsidP="008F09A1">
            <w:pPr>
              <w:rPr>
                <w:sz w:val="24"/>
                <w:szCs w:val="24"/>
              </w:rPr>
            </w:pPr>
            <w:r>
              <w:rPr>
                <w:sz w:val="24"/>
                <w:szCs w:val="24"/>
              </w:rPr>
              <w:t>Elements and inorganic As in rice</w:t>
            </w:r>
          </w:p>
        </w:tc>
        <w:tc>
          <w:tcPr>
            <w:tcW w:w="1080" w:type="dxa"/>
          </w:tcPr>
          <w:p w14:paraId="5F3D68CA" w14:textId="4DAB407D" w:rsidR="0017696E" w:rsidRDefault="002C39F3" w:rsidP="008F09A1">
            <w:pPr>
              <w:jc w:val="center"/>
              <w:rPr>
                <w:sz w:val="24"/>
                <w:szCs w:val="24"/>
              </w:rPr>
            </w:pPr>
            <w:r>
              <w:rPr>
                <w:sz w:val="24"/>
                <w:szCs w:val="24"/>
              </w:rPr>
              <w:t>A</w:t>
            </w:r>
          </w:p>
        </w:tc>
        <w:tc>
          <w:tcPr>
            <w:tcW w:w="1080" w:type="dxa"/>
          </w:tcPr>
          <w:p w14:paraId="74C27421" w14:textId="3DD5DDF1" w:rsidR="0017696E" w:rsidRDefault="002C39F3" w:rsidP="008F09A1">
            <w:pPr>
              <w:jc w:val="center"/>
              <w:rPr>
                <w:sz w:val="24"/>
                <w:szCs w:val="24"/>
              </w:rPr>
            </w:pPr>
            <w:r>
              <w:rPr>
                <w:sz w:val="24"/>
                <w:szCs w:val="24"/>
              </w:rPr>
              <w:t>1</w:t>
            </w:r>
          </w:p>
        </w:tc>
        <w:tc>
          <w:tcPr>
            <w:tcW w:w="2340" w:type="dxa"/>
          </w:tcPr>
          <w:p w14:paraId="5FC5011D" w14:textId="14CD6D57" w:rsidR="0017696E" w:rsidRDefault="007A07E0" w:rsidP="008F09A1">
            <w:pPr>
              <w:rPr>
                <w:sz w:val="24"/>
                <w:szCs w:val="24"/>
              </w:rPr>
            </w:pPr>
            <w:r>
              <w:rPr>
                <w:sz w:val="24"/>
                <w:szCs w:val="24"/>
              </w:rPr>
              <w:t>Protocol and sample development</w:t>
            </w:r>
          </w:p>
        </w:tc>
        <w:tc>
          <w:tcPr>
            <w:tcW w:w="2340" w:type="dxa"/>
          </w:tcPr>
          <w:p w14:paraId="23C88DA7" w14:textId="27E8509D" w:rsidR="0017696E" w:rsidRDefault="007A07E0" w:rsidP="008F09A1">
            <w:pPr>
              <w:rPr>
                <w:sz w:val="24"/>
                <w:szCs w:val="24"/>
              </w:rPr>
            </w:pPr>
            <w:r>
              <w:rPr>
                <w:sz w:val="24"/>
                <w:szCs w:val="24"/>
              </w:rPr>
              <w:t>Protocol and sample development</w:t>
            </w:r>
          </w:p>
        </w:tc>
      </w:tr>
      <w:tr w:rsidR="007A07E0" w14:paraId="12C87FB1" w14:textId="77777777" w:rsidTr="00E57FDE">
        <w:tc>
          <w:tcPr>
            <w:tcW w:w="1615" w:type="dxa"/>
          </w:tcPr>
          <w:p w14:paraId="529768BE" w14:textId="348DB94A" w:rsidR="007A07E0" w:rsidRDefault="007A07E0" w:rsidP="008F09A1">
            <w:pPr>
              <w:rPr>
                <w:sz w:val="24"/>
                <w:szCs w:val="24"/>
              </w:rPr>
            </w:pPr>
            <w:r>
              <w:rPr>
                <w:sz w:val="24"/>
                <w:szCs w:val="24"/>
              </w:rPr>
              <w:t>K160/P203</w:t>
            </w:r>
          </w:p>
        </w:tc>
        <w:tc>
          <w:tcPr>
            <w:tcW w:w="5580" w:type="dxa"/>
          </w:tcPr>
          <w:p w14:paraId="159A1865" w14:textId="1451E159" w:rsidR="007A07E0" w:rsidRDefault="007A07E0" w:rsidP="008F09A1">
            <w:pPr>
              <w:rPr>
                <w:sz w:val="24"/>
                <w:szCs w:val="24"/>
              </w:rPr>
            </w:pPr>
            <w:r>
              <w:rPr>
                <w:sz w:val="24"/>
                <w:szCs w:val="24"/>
              </w:rPr>
              <w:t>Platinum group elements in automotive catalyst</w:t>
            </w:r>
          </w:p>
        </w:tc>
        <w:tc>
          <w:tcPr>
            <w:tcW w:w="1080" w:type="dxa"/>
          </w:tcPr>
          <w:p w14:paraId="53A68639" w14:textId="3C0A0A60" w:rsidR="007A07E0" w:rsidRDefault="007A07E0" w:rsidP="008F09A1">
            <w:pPr>
              <w:jc w:val="center"/>
              <w:rPr>
                <w:sz w:val="24"/>
                <w:szCs w:val="24"/>
              </w:rPr>
            </w:pPr>
            <w:r>
              <w:rPr>
                <w:sz w:val="24"/>
                <w:szCs w:val="24"/>
              </w:rPr>
              <w:t>A</w:t>
            </w:r>
          </w:p>
        </w:tc>
        <w:tc>
          <w:tcPr>
            <w:tcW w:w="1080" w:type="dxa"/>
          </w:tcPr>
          <w:p w14:paraId="36782701" w14:textId="683CCB15" w:rsidR="007A07E0" w:rsidRDefault="007A07E0" w:rsidP="008F09A1">
            <w:pPr>
              <w:jc w:val="center"/>
              <w:rPr>
                <w:sz w:val="24"/>
                <w:szCs w:val="24"/>
              </w:rPr>
            </w:pPr>
            <w:r>
              <w:rPr>
                <w:sz w:val="24"/>
                <w:szCs w:val="24"/>
              </w:rPr>
              <w:t>1</w:t>
            </w:r>
          </w:p>
        </w:tc>
        <w:tc>
          <w:tcPr>
            <w:tcW w:w="2340" w:type="dxa"/>
          </w:tcPr>
          <w:p w14:paraId="3A7D133A" w14:textId="32177820" w:rsidR="007A07E0" w:rsidRDefault="007A07E0" w:rsidP="008F09A1">
            <w:pPr>
              <w:rPr>
                <w:sz w:val="24"/>
                <w:szCs w:val="24"/>
              </w:rPr>
            </w:pPr>
            <w:r>
              <w:rPr>
                <w:sz w:val="24"/>
                <w:szCs w:val="24"/>
              </w:rPr>
              <w:t>Protocol and sample development</w:t>
            </w:r>
          </w:p>
        </w:tc>
        <w:tc>
          <w:tcPr>
            <w:tcW w:w="2340" w:type="dxa"/>
          </w:tcPr>
          <w:p w14:paraId="6B5764F2" w14:textId="4968385E" w:rsidR="007A07E0" w:rsidRDefault="007A07E0" w:rsidP="008F09A1">
            <w:pPr>
              <w:rPr>
                <w:sz w:val="24"/>
                <w:szCs w:val="24"/>
              </w:rPr>
            </w:pPr>
            <w:r>
              <w:rPr>
                <w:sz w:val="24"/>
                <w:szCs w:val="24"/>
              </w:rPr>
              <w:t>Protocol and sample development</w:t>
            </w:r>
          </w:p>
        </w:tc>
      </w:tr>
      <w:tr w:rsidR="007A07E0" w14:paraId="7897BB5F" w14:textId="77777777" w:rsidTr="00E57FDE">
        <w:tc>
          <w:tcPr>
            <w:tcW w:w="1615" w:type="dxa"/>
          </w:tcPr>
          <w:p w14:paraId="6A0148DE" w14:textId="207DAF75" w:rsidR="007A07E0" w:rsidRDefault="007A07E0" w:rsidP="008F09A1">
            <w:pPr>
              <w:rPr>
                <w:sz w:val="24"/>
                <w:szCs w:val="24"/>
              </w:rPr>
            </w:pPr>
            <w:r>
              <w:rPr>
                <w:sz w:val="24"/>
                <w:szCs w:val="24"/>
              </w:rPr>
              <w:t>K161/P207</w:t>
            </w:r>
          </w:p>
        </w:tc>
        <w:tc>
          <w:tcPr>
            <w:tcW w:w="5580" w:type="dxa"/>
          </w:tcPr>
          <w:p w14:paraId="4E556A9A" w14:textId="5004F0F6" w:rsidR="007A07E0" w:rsidRDefault="007A07E0" w:rsidP="008F09A1">
            <w:pPr>
              <w:rPr>
                <w:sz w:val="24"/>
                <w:szCs w:val="24"/>
              </w:rPr>
            </w:pPr>
            <w:r>
              <w:rPr>
                <w:sz w:val="24"/>
                <w:szCs w:val="24"/>
              </w:rPr>
              <w:t>Anions in seawater</w:t>
            </w:r>
          </w:p>
        </w:tc>
        <w:tc>
          <w:tcPr>
            <w:tcW w:w="1080" w:type="dxa"/>
          </w:tcPr>
          <w:p w14:paraId="3DE77CBF" w14:textId="689CF1C5" w:rsidR="007A07E0" w:rsidRDefault="007A07E0" w:rsidP="008F09A1">
            <w:pPr>
              <w:jc w:val="center"/>
              <w:rPr>
                <w:sz w:val="24"/>
                <w:szCs w:val="24"/>
              </w:rPr>
            </w:pPr>
            <w:r>
              <w:rPr>
                <w:sz w:val="24"/>
                <w:szCs w:val="24"/>
              </w:rPr>
              <w:t>A</w:t>
            </w:r>
          </w:p>
        </w:tc>
        <w:tc>
          <w:tcPr>
            <w:tcW w:w="1080" w:type="dxa"/>
          </w:tcPr>
          <w:p w14:paraId="74A98D51" w14:textId="67F3FBB0" w:rsidR="007A07E0" w:rsidRDefault="007A07E0" w:rsidP="008F09A1">
            <w:pPr>
              <w:jc w:val="center"/>
              <w:rPr>
                <w:sz w:val="24"/>
                <w:szCs w:val="24"/>
              </w:rPr>
            </w:pPr>
            <w:r>
              <w:rPr>
                <w:sz w:val="24"/>
                <w:szCs w:val="24"/>
              </w:rPr>
              <w:t>1</w:t>
            </w:r>
          </w:p>
        </w:tc>
        <w:tc>
          <w:tcPr>
            <w:tcW w:w="2340" w:type="dxa"/>
          </w:tcPr>
          <w:p w14:paraId="279F45C7" w14:textId="58361826" w:rsidR="007A07E0" w:rsidRDefault="007A07E0" w:rsidP="008F09A1">
            <w:pPr>
              <w:rPr>
                <w:sz w:val="24"/>
                <w:szCs w:val="24"/>
              </w:rPr>
            </w:pPr>
            <w:r>
              <w:rPr>
                <w:sz w:val="24"/>
                <w:szCs w:val="24"/>
              </w:rPr>
              <w:t>Approved at CCQM plenary</w:t>
            </w:r>
          </w:p>
        </w:tc>
        <w:tc>
          <w:tcPr>
            <w:tcW w:w="2340" w:type="dxa"/>
          </w:tcPr>
          <w:p w14:paraId="2444A5C2" w14:textId="2D1E198E" w:rsidR="007A07E0" w:rsidRDefault="007A07E0" w:rsidP="008F09A1">
            <w:pPr>
              <w:rPr>
                <w:sz w:val="24"/>
                <w:szCs w:val="24"/>
              </w:rPr>
            </w:pPr>
            <w:r>
              <w:rPr>
                <w:sz w:val="24"/>
                <w:szCs w:val="24"/>
              </w:rPr>
              <w:t>Protocol and sample development</w:t>
            </w:r>
          </w:p>
        </w:tc>
      </w:tr>
      <w:tr w:rsidR="007A07E0" w14:paraId="57A9C634" w14:textId="77777777" w:rsidTr="00E57FDE">
        <w:tc>
          <w:tcPr>
            <w:tcW w:w="1615" w:type="dxa"/>
          </w:tcPr>
          <w:p w14:paraId="397B7029" w14:textId="1EF224AF" w:rsidR="007A07E0" w:rsidRDefault="007A07E0" w:rsidP="008F09A1">
            <w:pPr>
              <w:rPr>
                <w:sz w:val="24"/>
                <w:szCs w:val="24"/>
              </w:rPr>
            </w:pPr>
            <w:r>
              <w:rPr>
                <w:sz w:val="24"/>
                <w:szCs w:val="24"/>
              </w:rPr>
              <w:t>K162/P208</w:t>
            </w:r>
          </w:p>
        </w:tc>
        <w:tc>
          <w:tcPr>
            <w:tcW w:w="5580" w:type="dxa"/>
          </w:tcPr>
          <w:p w14:paraId="4F8AAD02" w14:textId="126F773B" w:rsidR="007A07E0" w:rsidRDefault="007A07E0" w:rsidP="008F09A1">
            <w:pPr>
              <w:rPr>
                <w:sz w:val="24"/>
                <w:szCs w:val="24"/>
              </w:rPr>
            </w:pPr>
            <w:r>
              <w:rPr>
                <w:sz w:val="24"/>
                <w:szCs w:val="24"/>
              </w:rPr>
              <w:t>Selenoproteins in serum</w:t>
            </w:r>
          </w:p>
        </w:tc>
        <w:tc>
          <w:tcPr>
            <w:tcW w:w="1080" w:type="dxa"/>
          </w:tcPr>
          <w:p w14:paraId="161C16F2" w14:textId="4A76108F" w:rsidR="007A07E0" w:rsidRDefault="007A07E0" w:rsidP="008F09A1">
            <w:pPr>
              <w:jc w:val="center"/>
              <w:rPr>
                <w:sz w:val="24"/>
                <w:szCs w:val="24"/>
              </w:rPr>
            </w:pPr>
            <w:r>
              <w:rPr>
                <w:sz w:val="24"/>
                <w:szCs w:val="24"/>
              </w:rPr>
              <w:t>C</w:t>
            </w:r>
          </w:p>
        </w:tc>
        <w:tc>
          <w:tcPr>
            <w:tcW w:w="1080" w:type="dxa"/>
          </w:tcPr>
          <w:p w14:paraId="4EA906FF" w14:textId="2E6626A0" w:rsidR="007A07E0" w:rsidRDefault="007A07E0" w:rsidP="008F09A1">
            <w:pPr>
              <w:jc w:val="center"/>
              <w:rPr>
                <w:sz w:val="24"/>
                <w:szCs w:val="24"/>
              </w:rPr>
            </w:pPr>
            <w:r>
              <w:rPr>
                <w:sz w:val="24"/>
                <w:szCs w:val="24"/>
              </w:rPr>
              <w:t>1</w:t>
            </w:r>
          </w:p>
        </w:tc>
        <w:tc>
          <w:tcPr>
            <w:tcW w:w="2340" w:type="dxa"/>
          </w:tcPr>
          <w:p w14:paraId="457E509C" w14:textId="21458AB2" w:rsidR="007A07E0" w:rsidRDefault="007A07E0" w:rsidP="008F09A1">
            <w:pPr>
              <w:rPr>
                <w:sz w:val="24"/>
                <w:szCs w:val="24"/>
              </w:rPr>
            </w:pPr>
            <w:r>
              <w:rPr>
                <w:sz w:val="24"/>
                <w:szCs w:val="24"/>
              </w:rPr>
              <w:t>Approved at CCQM plenary</w:t>
            </w:r>
          </w:p>
        </w:tc>
        <w:tc>
          <w:tcPr>
            <w:tcW w:w="2340" w:type="dxa"/>
          </w:tcPr>
          <w:p w14:paraId="19E740B3" w14:textId="76C735BF" w:rsidR="007A07E0" w:rsidRDefault="007A07E0" w:rsidP="008F09A1">
            <w:pPr>
              <w:rPr>
                <w:sz w:val="24"/>
                <w:szCs w:val="24"/>
              </w:rPr>
            </w:pPr>
            <w:r>
              <w:rPr>
                <w:sz w:val="24"/>
                <w:szCs w:val="24"/>
              </w:rPr>
              <w:t>Protocol and sample development</w:t>
            </w:r>
          </w:p>
        </w:tc>
      </w:tr>
    </w:tbl>
    <w:p w14:paraId="23ABDB51" w14:textId="03766B81" w:rsidR="00C00685" w:rsidRPr="00E57FDE" w:rsidRDefault="008F09A1" w:rsidP="00E57FDE">
      <w:pPr>
        <w:spacing w:after="0" w:line="240" w:lineRule="auto"/>
        <w:ind w:left="180" w:hanging="180"/>
        <w:rPr>
          <w:sz w:val="20"/>
          <w:szCs w:val="20"/>
        </w:rPr>
      </w:pPr>
      <w:r w:rsidRPr="00E57FDE">
        <w:rPr>
          <w:sz w:val="20"/>
          <w:szCs w:val="20"/>
          <w:vertAlign w:val="superscript"/>
        </w:rPr>
        <w:t>a</w:t>
      </w:r>
      <w:r w:rsidRPr="00E57FDE">
        <w:rPr>
          <w:sz w:val="20"/>
          <w:szCs w:val="20"/>
        </w:rPr>
        <w:t xml:space="preserve"> </w:t>
      </w:r>
      <w:r w:rsidR="00E57FDE">
        <w:rPr>
          <w:sz w:val="20"/>
          <w:szCs w:val="20"/>
        </w:rPr>
        <w:tab/>
      </w:r>
      <w:r w:rsidRPr="00E57FDE">
        <w:rPr>
          <w:sz w:val="20"/>
          <w:szCs w:val="20"/>
        </w:rPr>
        <w:t>The IAWG does not use the “Track” nomenclature, but it is included here, because many of the CCQM WGs do use it.  “Track A” refers to measurements that constitute core functions performed routinely by the member institutes; “Trace K” refers to more specialized measurements that are not yet commonly used to provide measurement services.</w:t>
      </w:r>
    </w:p>
    <w:p w14:paraId="545A092E" w14:textId="7106DCD9" w:rsidR="008F09A1" w:rsidRPr="00E57FDE" w:rsidRDefault="008F09A1" w:rsidP="00E57FDE">
      <w:pPr>
        <w:spacing w:after="0" w:line="240" w:lineRule="auto"/>
        <w:ind w:left="180" w:hanging="180"/>
        <w:rPr>
          <w:sz w:val="20"/>
          <w:szCs w:val="20"/>
        </w:rPr>
      </w:pPr>
      <w:r w:rsidRPr="00E57FDE">
        <w:rPr>
          <w:sz w:val="20"/>
          <w:szCs w:val="20"/>
          <w:vertAlign w:val="superscript"/>
        </w:rPr>
        <w:t>b</w:t>
      </w:r>
      <w:r w:rsidRPr="00E57FDE">
        <w:rPr>
          <w:sz w:val="20"/>
          <w:szCs w:val="20"/>
        </w:rPr>
        <w:t xml:space="preserve"> </w:t>
      </w:r>
      <w:r w:rsidR="00E57FDE">
        <w:rPr>
          <w:sz w:val="20"/>
          <w:szCs w:val="20"/>
        </w:rPr>
        <w:tab/>
      </w:r>
      <w:r w:rsidRPr="00E57FDE">
        <w:rPr>
          <w:sz w:val="20"/>
          <w:szCs w:val="20"/>
        </w:rPr>
        <w:t>“Model 1” means the pilot institute sends samples to the participants to be measured; “Model 2” means the participants send samples to the pilot institute for measurement.</w:t>
      </w:r>
    </w:p>
    <w:p w14:paraId="6AF9BED0" w14:textId="2F535862" w:rsidR="008F09A1" w:rsidRPr="00E57FDE" w:rsidRDefault="008F09A1" w:rsidP="00E57FDE">
      <w:pPr>
        <w:spacing w:after="0" w:line="240" w:lineRule="auto"/>
        <w:ind w:left="180" w:hanging="180"/>
        <w:rPr>
          <w:sz w:val="20"/>
          <w:szCs w:val="20"/>
        </w:rPr>
      </w:pPr>
      <w:r w:rsidRPr="00E57FDE">
        <w:rPr>
          <w:sz w:val="20"/>
          <w:szCs w:val="20"/>
          <w:vertAlign w:val="superscript"/>
        </w:rPr>
        <w:t>c</w:t>
      </w:r>
      <w:r w:rsidRPr="00E57FDE">
        <w:rPr>
          <w:sz w:val="20"/>
          <w:szCs w:val="20"/>
        </w:rPr>
        <w:t xml:space="preserve"> </w:t>
      </w:r>
      <w:r w:rsidR="00E57FDE">
        <w:rPr>
          <w:sz w:val="20"/>
          <w:szCs w:val="20"/>
        </w:rPr>
        <w:tab/>
      </w:r>
      <w:r w:rsidRPr="00E57FDE">
        <w:rPr>
          <w:sz w:val="20"/>
          <w:szCs w:val="20"/>
        </w:rPr>
        <w:t>Joint with the EAWG.</w:t>
      </w:r>
    </w:p>
    <w:p w14:paraId="20C07E3F" w14:textId="2B7282A4" w:rsidR="00E57FDE" w:rsidRPr="00E57FDE" w:rsidRDefault="00E57FDE" w:rsidP="00E57FDE">
      <w:pPr>
        <w:spacing w:after="0" w:line="240" w:lineRule="auto"/>
        <w:ind w:left="180" w:hanging="180"/>
        <w:rPr>
          <w:sz w:val="20"/>
          <w:szCs w:val="20"/>
        </w:rPr>
      </w:pPr>
      <w:r w:rsidRPr="00E57FDE">
        <w:rPr>
          <w:sz w:val="20"/>
          <w:szCs w:val="20"/>
          <w:vertAlign w:val="superscript"/>
        </w:rPr>
        <w:t>d</w:t>
      </w:r>
      <w:r w:rsidRPr="00E57FDE">
        <w:rPr>
          <w:sz w:val="20"/>
          <w:szCs w:val="20"/>
        </w:rPr>
        <w:t xml:space="preserve"> </w:t>
      </w:r>
      <w:r>
        <w:rPr>
          <w:sz w:val="20"/>
          <w:szCs w:val="20"/>
        </w:rPr>
        <w:tab/>
      </w:r>
      <w:r w:rsidRPr="00E57FDE">
        <w:rPr>
          <w:sz w:val="20"/>
          <w:szCs w:val="20"/>
        </w:rPr>
        <w:t>Joint with the PAWG.</w:t>
      </w:r>
    </w:p>
    <w:sectPr w:rsidR="00E57FDE" w:rsidRPr="00E57FDE" w:rsidSect="0017696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EBE7E" w14:textId="77777777" w:rsidR="00100AC9" w:rsidRDefault="00100AC9" w:rsidP="005A53D0">
      <w:pPr>
        <w:spacing w:after="0" w:line="240" w:lineRule="auto"/>
      </w:pPr>
      <w:r>
        <w:separator/>
      </w:r>
    </w:p>
  </w:endnote>
  <w:endnote w:type="continuationSeparator" w:id="0">
    <w:p w14:paraId="6E084C44" w14:textId="77777777" w:rsidR="00100AC9" w:rsidRDefault="00100AC9" w:rsidP="005A5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E5B82" w14:textId="18883F05" w:rsidR="00764F4F" w:rsidRDefault="00764F4F" w:rsidP="00764F4F">
    <w:pPr>
      <w:pStyle w:val="Footer"/>
      <w:jc w:val="center"/>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42BE2" w14:textId="77777777" w:rsidR="00100AC9" w:rsidRDefault="00100AC9" w:rsidP="005A53D0">
      <w:pPr>
        <w:spacing w:after="0" w:line="240" w:lineRule="auto"/>
      </w:pPr>
      <w:r>
        <w:separator/>
      </w:r>
    </w:p>
  </w:footnote>
  <w:footnote w:type="continuationSeparator" w:id="0">
    <w:p w14:paraId="6BBB280C" w14:textId="77777777" w:rsidR="00100AC9" w:rsidRDefault="00100AC9" w:rsidP="005A53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0D"/>
    <w:rsid w:val="0004028C"/>
    <w:rsid w:val="00060C1A"/>
    <w:rsid w:val="000B7006"/>
    <w:rsid w:val="000E5E86"/>
    <w:rsid w:val="000E6D4E"/>
    <w:rsid w:val="000F27A7"/>
    <w:rsid w:val="000F71C8"/>
    <w:rsid w:val="00100AC9"/>
    <w:rsid w:val="0010339E"/>
    <w:rsid w:val="0012106A"/>
    <w:rsid w:val="001364B6"/>
    <w:rsid w:val="0016568C"/>
    <w:rsid w:val="0017696E"/>
    <w:rsid w:val="001825AB"/>
    <w:rsid w:val="001A0D35"/>
    <w:rsid w:val="001E3A4A"/>
    <w:rsid w:val="001F0CA7"/>
    <w:rsid w:val="00240C16"/>
    <w:rsid w:val="00241AD9"/>
    <w:rsid w:val="00255FB0"/>
    <w:rsid w:val="00264CC7"/>
    <w:rsid w:val="00272A8F"/>
    <w:rsid w:val="00281796"/>
    <w:rsid w:val="002B60AD"/>
    <w:rsid w:val="002C04B4"/>
    <w:rsid w:val="002C39F3"/>
    <w:rsid w:val="002D368D"/>
    <w:rsid w:val="00306108"/>
    <w:rsid w:val="00347456"/>
    <w:rsid w:val="00363340"/>
    <w:rsid w:val="00397C0D"/>
    <w:rsid w:val="003A25E5"/>
    <w:rsid w:val="003A4410"/>
    <w:rsid w:val="003A4702"/>
    <w:rsid w:val="004018D6"/>
    <w:rsid w:val="00440E49"/>
    <w:rsid w:val="004B351C"/>
    <w:rsid w:val="004C297E"/>
    <w:rsid w:val="004D3206"/>
    <w:rsid w:val="005202AD"/>
    <w:rsid w:val="00560EB4"/>
    <w:rsid w:val="00581044"/>
    <w:rsid w:val="00595954"/>
    <w:rsid w:val="005A11D8"/>
    <w:rsid w:val="005A53D0"/>
    <w:rsid w:val="005C77AD"/>
    <w:rsid w:val="00604FEE"/>
    <w:rsid w:val="00637FEF"/>
    <w:rsid w:val="006419E3"/>
    <w:rsid w:val="00652022"/>
    <w:rsid w:val="006752C1"/>
    <w:rsid w:val="00692C08"/>
    <w:rsid w:val="00696270"/>
    <w:rsid w:val="00696E90"/>
    <w:rsid w:val="006C05DB"/>
    <w:rsid w:val="006C1758"/>
    <w:rsid w:val="006D10EC"/>
    <w:rsid w:val="006E0B96"/>
    <w:rsid w:val="006F4D82"/>
    <w:rsid w:val="006F7159"/>
    <w:rsid w:val="00764F4F"/>
    <w:rsid w:val="00775E59"/>
    <w:rsid w:val="00783DAE"/>
    <w:rsid w:val="00797180"/>
    <w:rsid w:val="007A07E0"/>
    <w:rsid w:val="007A228D"/>
    <w:rsid w:val="007B75A8"/>
    <w:rsid w:val="0082601A"/>
    <w:rsid w:val="00852F43"/>
    <w:rsid w:val="00856C36"/>
    <w:rsid w:val="00867E0D"/>
    <w:rsid w:val="00871F5A"/>
    <w:rsid w:val="00884559"/>
    <w:rsid w:val="008A355A"/>
    <w:rsid w:val="008B74AD"/>
    <w:rsid w:val="008E1DF5"/>
    <w:rsid w:val="008F09A1"/>
    <w:rsid w:val="00924BF3"/>
    <w:rsid w:val="009544A6"/>
    <w:rsid w:val="009D0072"/>
    <w:rsid w:val="009E77E4"/>
    <w:rsid w:val="00A24037"/>
    <w:rsid w:val="00A500C5"/>
    <w:rsid w:val="00A87FC5"/>
    <w:rsid w:val="00AD504E"/>
    <w:rsid w:val="00AD5B8C"/>
    <w:rsid w:val="00AE134A"/>
    <w:rsid w:val="00AF5C53"/>
    <w:rsid w:val="00B15A98"/>
    <w:rsid w:val="00B64EDC"/>
    <w:rsid w:val="00B9247E"/>
    <w:rsid w:val="00B93BEC"/>
    <w:rsid w:val="00BA6B22"/>
    <w:rsid w:val="00BC311D"/>
    <w:rsid w:val="00BC5BAE"/>
    <w:rsid w:val="00C00685"/>
    <w:rsid w:val="00C34097"/>
    <w:rsid w:val="00C81F97"/>
    <w:rsid w:val="00CE7E41"/>
    <w:rsid w:val="00D332BC"/>
    <w:rsid w:val="00D46DDD"/>
    <w:rsid w:val="00D6796D"/>
    <w:rsid w:val="00D72EA2"/>
    <w:rsid w:val="00D851FE"/>
    <w:rsid w:val="00DC6290"/>
    <w:rsid w:val="00DD14B5"/>
    <w:rsid w:val="00DD7BB1"/>
    <w:rsid w:val="00DF7A19"/>
    <w:rsid w:val="00E57FDE"/>
    <w:rsid w:val="00E80191"/>
    <w:rsid w:val="00EB6153"/>
    <w:rsid w:val="00F20B02"/>
    <w:rsid w:val="00F30AE2"/>
    <w:rsid w:val="00F67E78"/>
    <w:rsid w:val="00F741C0"/>
    <w:rsid w:val="00F84C77"/>
    <w:rsid w:val="00FC2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EB0D0"/>
  <w15:chartTrackingRefBased/>
  <w15:docId w15:val="{53564C16-0D3C-4304-A073-7DC9CAC6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3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3D0"/>
  </w:style>
  <w:style w:type="paragraph" w:styleId="Footer">
    <w:name w:val="footer"/>
    <w:basedOn w:val="Normal"/>
    <w:link w:val="FooterChar"/>
    <w:uiPriority w:val="99"/>
    <w:unhideWhenUsed/>
    <w:rsid w:val="005A53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3D0"/>
  </w:style>
  <w:style w:type="paragraph" w:styleId="ListParagraph">
    <w:name w:val="List Paragraph"/>
    <w:basedOn w:val="Normal"/>
    <w:uiPriority w:val="34"/>
    <w:qFormat/>
    <w:rsid w:val="00783DAE"/>
    <w:pPr>
      <w:ind w:left="720"/>
      <w:contextualSpacing/>
    </w:pPr>
  </w:style>
  <w:style w:type="table" w:styleId="TableGrid">
    <w:name w:val="Table Grid"/>
    <w:basedOn w:val="TableNormal"/>
    <w:uiPriority w:val="39"/>
    <w:rsid w:val="00C00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BCB2B-EC41-4938-9326-FB820713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1494</TotalTime>
  <Pages>4</Pages>
  <Words>1448</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Brewer</dc:creator>
  <cp:keywords/>
  <dc:description/>
  <cp:lastModifiedBy>Winchester, Michael R. Dr. (Fed)</cp:lastModifiedBy>
  <cp:revision>12</cp:revision>
  <dcterms:created xsi:type="dcterms:W3CDTF">2020-06-21T13:01:00Z</dcterms:created>
  <dcterms:modified xsi:type="dcterms:W3CDTF">2020-06-22T13:58:00Z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coClassification">
    <vt:lpwstr>NPL Official</vt:lpwstr>
  </property>
  <property fmtid="{D5CDD505-2E9C-101B-9397-08002B2CF9AE}" pid="3" name="aliashDocumentMarking">
    <vt:lpwstr/>
  </property>
</Properties>
</file>