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D2" w:rsidRDefault="00976CBF">
      <w:pPr>
        <w:pStyle w:val="Heading1"/>
        <w:spacing w:line="300" w:lineRule="exact"/>
        <w:rPr>
          <w:b/>
          <w:sz w:val="28"/>
          <w:u w:val="none"/>
        </w:rPr>
      </w:pPr>
      <w:r>
        <w:rPr>
          <w:b/>
          <w:sz w:val="28"/>
          <w:u w:val="none"/>
        </w:rPr>
        <w:t>Update</w:t>
      </w:r>
      <w:r w:rsidR="004254D2">
        <w:rPr>
          <w:b/>
          <w:sz w:val="28"/>
          <w:u w:val="none"/>
        </w:rPr>
        <w:t>d report</w:t>
      </w:r>
      <w:r>
        <w:rPr>
          <w:b/>
          <w:sz w:val="28"/>
          <w:u w:val="none"/>
        </w:rPr>
        <w:t xml:space="preserve"> on t</w:t>
      </w:r>
      <w:r w:rsidR="00A3085F">
        <w:rPr>
          <w:b/>
          <w:sz w:val="28"/>
          <w:u w:val="none"/>
        </w:rPr>
        <w:t>he evalu</w:t>
      </w:r>
      <w:r w:rsidR="004254D2">
        <w:rPr>
          <w:b/>
          <w:sz w:val="28"/>
          <w:u w:val="none"/>
        </w:rPr>
        <w:t>ation of</w:t>
      </w:r>
    </w:p>
    <w:p w:rsidR="00A3085F" w:rsidRDefault="00976CBF">
      <w:pPr>
        <w:pStyle w:val="Heading1"/>
        <w:spacing w:line="300" w:lineRule="exact"/>
        <w:rPr>
          <w:b/>
          <w:sz w:val="28"/>
          <w:u w:val="none"/>
        </w:rPr>
      </w:pPr>
      <w:proofErr w:type="gramStart"/>
      <w:r>
        <w:rPr>
          <w:b/>
          <w:sz w:val="28"/>
          <w:u w:val="none"/>
        </w:rPr>
        <w:t>degrees</w:t>
      </w:r>
      <w:proofErr w:type="gramEnd"/>
      <w:r>
        <w:rPr>
          <w:b/>
          <w:sz w:val="28"/>
          <w:u w:val="none"/>
        </w:rPr>
        <w:t xml:space="preserve"> of equivalence</w:t>
      </w:r>
      <w:r w:rsidR="004254D2">
        <w:rPr>
          <w:b/>
          <w:sz w:val="28"/>
          <w:u w:val="none"/>
        </w:rPr>
        <w:t xml:space="preserve"> </w:t>
      </w:r>
      <w:r w:rsidR="00A3085F">
        <w:rPr>
          <w:b/>
          <w:sz w:val="28"/>
          <w:u w:val="none"/>
        </w:rPr>
        <w:t>in regional dosimetry comparisons</w:t>
      </w:r>
    </w:p>
    <w:p w:rsidR="00A3085F" w:rsidRDefault="00176978">
      <w:pPr>
        <w:pStyle w:val="Heading1"/>
        <w:spacing w:before="240" w:after="120" w:line="300" w:lineRule="exact"/>
        <w:rPr>
          <w:sz w:val="24"/>
          <w:u w:val="none"/>
        </w:rPr>
      </w:pPr>
      <w:r>
        <w:rPr>
          <w:sz w:val="24"/>
          <w:u w:val="none"/>
        </w:rPr>
        <w:t>D T Burns</w:t>
      </w:r>
      <w:r w:rsidR="00976CBF">
        <w:rPr>
          <w:sz w:val="24"/>
          <w:u w:val="none"/>
        </w:rPr>
        <w:t xml:space="preserve"> </w:t>
      </w:r>
      <w:r>
        <w:rPr>
          <w:sz w:val="24"/>
          <w:u w:val="none"/>
        </w:rPr>
        <w:t>(</w:t>
      </w:r>
      <w:r w:rsidR="00976CBF">
        <w:rPr>
          <w:sz w:val="24"/>
          <w:u w:val="none"/>
        </w:rPr>
        <w:t>BIPM</w:t>
      </w:r>
      <w:r>
        <w:rPr>
          <w:sz w:val="24"/>
          <w:u w:val="none"/>
        </w:rPr>
        <w:t>) and D Butler (ARPANSA)</w:t>
      </w:r>
    </w:p>
    <w:p w:rsidR="00F65B16" w:rsidRDefault="00F65B16">
      <w:pPr>
        <w:spacing w:before="120" w:line="300" w:lineRule="exact"/>
        <w:rPr>
          <w:sz w:val="24"/>
        </w:rPr>
      </w:pPr>
      <w:r>
        <w:rPr>
          <w:sz w:val="24"/>
        </w:rPr>
        <w:t>This re</w:t>
      </w:r>
      <w:r w:rsidR="00976CBF">
        <w:rPr>
          <w:sz w:val="24"/>
        </w:rPr>
        <w:t xml:space="preserve">port is a revision of that </w:t>
      </w:r>
      <w:r>
        <w:rPr>
          <w:sz w:val="24"/>
        </w:rPr>
        <w:t xml:space="preserve">presented in 2007 as </w:t>
      </w:r>
      <w:proofErr w:type="gramStart"/>
      <w:r>
        <w:rPr>
          <w:sz w:val="24"/>
        </w:rPr>
        <w:t>CCRI(</w:t>
      </w:r>
      <w:proofErr w:type="gramEnd"/>
      <w:r>
        <w:rPr>
          <w:sz w:val="24"/>
        </w:rPr>
        <w:t>I)/07-04, with two main changes: (</w:t>
      </w:r>
      <w:proofErr w:type="spellStart"/>
      <w:r>
        <w:rPr>
          <w:sz w:val="24"/>
        </w:rPr>
        <w:t>i</w:t>
      </w:r>
      <w:proofErr w:type="spellEnd"/>
      <w:r>
        <w:rPr>
          <w:sz w:val="24"/>
        </w:rPr>
        <w:t xml:space="preserve">) removal of the evaluation of pairs of degrees of equivalence, as these are no longer published in the KCDB, and (ii) </w:t>
      </w:r>
      <w:r w:rsidR="00ED5A74">
        <w:rPr>
          <w:sz w:val="24"/>
        </w:rPr>
        <w:t xml:space="preserve">advice on the evaluation of </w:t>
      </w:r>
      <w:proofErr w:type="spellStart"/>
      <w:r w:rsidR="00ED5A74" w:rsidRPr="00ED5A74">
        <w:rPr>
          <w:i/>
          <w:sz w:val="24"/>
        </w:rPr>
        <w:t>u</w:t>
      </w:r>
      <w:r w:rsidR="00070134">
        <w:rPr>
          <w:sz w:val="24"/>
          <w:vertAlign w:val="subscript"/>
        </w:rPr>
        <w:t>tr</w:t>
      </w:r>
      <w:proofErr w:type="spellEnd"/>
      <w:r w:rsidR="00ED5A74">
        <w:rPr>
          <w:sz w:val="24"/>
        </w:rPr>
        <w:t xml:space="preserve"> </w:t>
      </w:r>
      <w:r w:rsidR="00070134">
        <w:rPr>
          <w:sz w:val="24"/>
        </w:rPr>
        <w:t xml:space="preserve">(formerly </w:t>
      </w:r>
      <w:proofErr w:type="spellStart"/>
      <w:r w:rsidR="00070134" w:rsidRPr="00ED5A74">
        <w:rPr>
          <w:i/>
          <w:sz w:val="24"/>
        </w:rPr>
        <w:t>u</w:t>
      </w:r>
      <w:r w:rsidR="00070134">
        <w:rPr>
          <w:sz w:val="24"/>
          <w:vertAlign w:val="subscript"/>
        </w:rPr>
        <w:t>stab</w:t>
      </w:r>
      <w:proofErr w:type="spellEnd"/>
      <w:r w:rsidR="00070134">
        <w:rPr>
          <w:sz w:val="24"/>
        </w:rPr>
        <w:t xml:space="preserve">) </w:t>
      </w:r>
      <w:r w:rsidR="00ED5A74">
        <w:rPr>
          <w:sz w:val="24"/>
        </w:rPr>
        <w:t xml:space="preserve">and </w:t>
      </w:r>
      <w:proofErr w:type="spellStart"/>
      <w:r w:rsidR="00ED5A74" w:rsidRPr="00ED5A74">
        <w:rPr>
          <w:i/>
          <w:sz w:val="24"/>
        </w:rPr>
        <w:t>u</w:t>
      </w:r>
      <w:r w:rsidR="00ED5A74" w:rsidRPr="00ED5A74">
        <w:rPr>
          <w:sz w:val="24"/>
          <w:vertAlign w:val="subscript"/>
        </w:rPr>
        <w:t>LINK</w:t>
      </w:r>
      <w:proofErr w:type="spellEnd"/>
      <w:r w:rsidR="00ED5A74">
        <w:rPr>
          <w:sz w:val="24"/>
        </w:rPr>
        <w:t xml:space="preserve">, including the </w:t>
      </w:r>
      <w:r w:rsidR="00335061">
        <w:rPr>
          <w:sz w:val="24"/>
        </w:rPr>
        <w:t xml:space="preserve">treatment of </w:t>
      </w:r>
      <w:r>
        <w:rPr>
          <w:sz w:val="24"/>
        </w:rPr>
        <w:t xml:space="preserve">data </w:t>
      </w:r>
      <w:r w:rsidR="00851404">
        <w:rPr>
          <w:sz w:val="24"/>
        </w:rPr>
        <w:t xml:space="preserve">for </w:t>
      </w:r>
      <w:r>
        <w:rPr>
          <w:sz w:val="24"/>
        </w:rPr>
        <w:t xml:space="preserve">which the observed variations </w:t>
      </w:r>
      <w:r w:rsidR="007D2E3B">
        <w:rPr>
          <w:sz w:val="24"/>
        </w:rPr>
        <w:t>are larger than</w:t>
      </w:r>
      <w:r>
        <w:rPr>
          <w:sz w:val="24"/>
        </w:rPr>
        <w:t xml:space="preserve"> </w:t>
      </w:r>
      <w:r w:rsidR="007C2A5A">
        <w:rPr>
          <w:sz w:val="24"/>
        </w:rPr>
        <w:t>predicted</w:t>
      </w:r>
      <w:r>
        <w:rPr>
          <w:sz w:val="24"/>
        </w:rPr>
        <w:t xml:space="preserve"> from the relevant uncertainties.</w:t>
      </w:r>
    </w:p>
    <w:p w:rsidR="00976CBF" w:rsidRDefault="00335061">
      <w:pPr>
        <w:spacing w:before="120" w:line="300" w:lineRule="exact"/>
        <w:rPr>
          <w:sz w:val="24"/>
        </w:rPr>
      </w:pPr>
      <w:r>
        <w:rPr>
          <w:sz w:val="24"/>
        </w:rPr>
        <w:t xml:space="preserve">The </w:t>
      </w:r>
      <w:r w:rsidR="00A3085F">
        <w:rPr>
          <w:sz w:val="24"/>
        </w:rPr>
        <w:t xml:space="preserve">analysis assumes in the first instance a single linking laboratory, LINK, and a </w:t>
      </w:r>
      <w:r w:rsidR="00B46C4A">
        <w:rPr>
          <w:sz w:val="24"/>
        </w:rPr>
        <w:t xml:space="preserve">regional </w:t>
      </w:r>
      <w:r w:rsidR="00A3085F">
        <w:rPr>
          <w:sz w:val="24"/>
        </w:rPr>
        <w:t xml:space="preserve">comparison of </w:t>
      </w:r>
      <w:r w:rsidR="00070134">
        <w:rPr>
          <w:sz w:val="24"/>
        </w:rPr>
        <w:t>a</w:t>
      </w:r>
      <w:r w:rsidR="00391CAA">
        <w:rPr>
          <w:sz w:val="24"/>
        </w:rPr>
        <w:t xml:space="preserve"> quantity</w:t>
      </w:r>
      <w:r w:rsidR="00070134">
        <w:rPr>
          <w:sz w:val="24"/>
        </w:rPr>
        <w:t>, which we take to be</w:t>
      </w:r>
      <w:r w:rsidR="003E5927">
        <w:rPr>
          <w:sz w:val="24"/>
        </w:rPr>
        <w:t xml:space="preserve"> air-</w:t>
      </w:r>
      <w:r w:rsidR="00391CAA">
        <w:rPr>
          <w:sz w:val="24"/>
        </w:rPr>
        <w:t>kerma</w:t>
      </w:r>
      <w:r w:rsidR="003E5927">
        <w:rPr>
          <w:sz w:val="24"/>
        </w:rPr>
        <w:t xml:space="preserve"> rate</w:t>
      </w:r>
      <w:r w:rsidR="00070134">
        <w:rPr>
          <w:sz w:val="24"/>
        </w:rPr>
        <w:t>,</w:t>
      </w:r>
      <w:r w:rsidR="00391CAA">
        <w:rPr>
          <w:sz w:val="24"/>
        </w:rPr>
        <w:t xml:space="preserve"> </w:t>
      </w:r>
      <w:r w:rsidR="00A3085F">
        <w:rPr>
          <w:sz w:val="24"/>
        </w:rPr>
        <w:t xml:space="preserve">by measurement of the calibration coefficient </w:t>
      </w:r>
      <w:r w:rsidR="00A3085F">
        <w:rPr>
          <w:i/>
          <w:sz w:val="24"/>
        </w:rPr>
        <w:t>N</w:t>
      </w:r>
      <w:r w:rsidR="00391CAA" w:rsidRPr="00391CAA">
        <w:rPr>
          <w:i/>
          <w:sz w:val="24"/>
          <w:vertAlign w:val="subscript"/>
        </w:rPr>
        <w:t>K</w:t>
      </w:r>
      <w:r w:rsidR="00A3085F">
        <w:rPr>
          <w:sz w:val="24"/>
        </w:rPr>
        <w:t xml:space="preserve"> </w:t>
      </w:r>
      <w:r w:rsidR="008B1BCC">
        <w:rPr>
          <w:sz w:val="24"/>
        </w:rPr>
        <w:t>for a single transfer chamber</w:t>
      </w:r>
      <w:r w:rsidR="00A3085F">
        <w:rPr>
          <w:sz w:val="24"/>
        </w:rPr>
        <w:t xml:space="preserve">. </w:t>
      </w:r>
      <w:r w:rsidR="00986470">
        <w:rPr>
          <w:sz w:val="24"/>
        </w:rPr>
        <w:t>The link to the</w:t>
      </w:r>
      <w:r w:rsidR="00B46C4A">
        <w:rPr>
          <w:sz w:val="24"/>
        </w:rPr>
        <w:t xml:space="preserve"> BIPM is by means of an existing </w:t>
      </w:r>
      <w:r w:rsidR="008838E7">
        <w:rPr>
          <w:sz w:val="24"/>
        </w:rPr>
        <w:t xml:space="preserve">BIPM </w:t>
      </w:r>
      <w:r w:rsidR="00783EDB">
        <w:rPr>
          <w:sz w:val="24"/>
        </w:rPr>
        <w:t xml:space="preserve">international </w:t>
      </w:r>
      <w:r w:rsidR="00986470">
        <w:rPr>
          <w:sz w:val="24"/>
        </w:rPr>
        <w:t>comparison</w:t>
      </w:r>
      <w:r w:rsidR="00391CAA">
        <w:rPr>
          <w:sz w:val="24"/>
        </w:rPr>
        <w:t xml:space="preserve"> by the LINK for this</w:t>
      </w:r>
      <w:r w:rsidR="00065C0B">
        <w:rPr>
          <w:sz w:val="24"/>
        </w:rPr>
        <w:t xml:space="preserve"> quantity</w:t>
      </w:r>
      <w:r w:rsidR="00986470">
        <w:rPr>
          <w:sz w:val="24"/>
        </w:rPr>
        <w:t xml:space="preserve">. </w:t>
      </w:r>
      <w:r w:rsidR="00A3085F">
        <w:rPr>
          <w:sz w:val="24"/>
        </w:rPr>
        <w:t xml:space="preserve">The </w:t>
      </w:r>
      <w:r>
        <w:rPr>
          <w:sz w:val="24"/>
        </w:rPr>
        <w:t>analysis is then generalized</w:t>
      </w:r>
      <w:r w:rsidR="008B1BCC">
        <w:rPr>
          <w:sz w:val="24"/>
        </w:rPr>
        <w:t xml:space="preserve"> to multiple transfer chamber</w:t>
      </w:r>
      <w:r w:rsidR="00A3085F">
        <w:rPr>
          <w:sz w:val="24"/>
        </w:rPr>
        <w:t>s and linki</w:t>
      </w:r>
      <w:r>
        <w:rPr>
          <w:sz w:val="24"/>
        </w:rPr>
        <w:t>ng laboratories</w:t>
      </w:r>
      <w:r w:rsidR="00976CBF">
        <w:rPr>
          <w:sz w:val="24"/>
        </w:rPr>
        <w:t>.</w:t>
      </w:r>
    </w:p>
    <w:p w:rsidR="00F65B16" w:rsidRPr="000812F9" w:rsidRDefault="00976CBF" w:rsidP="000812F9">
      <w:pPr>
        <w:spacing w:before="120" w:line="300" w:lineRule="exact"/>
        <w:rPr>
          <w:sz w:val="24"/>
        </w:rPr>
      </w:pPr>
      <w:r>
        <w:rPr>
          <w:sz w:val="24"/>
        </w:rPr>
        <w:t xml:space="preserve">The aim is </w:t>
      </w:r>
      <w:r w:rsidR="0068389E">
        <w:rPr>
          <w:sz w:val="24"/>
        </w:rPr>
        <w:t xml:space="preserve">a simplified </w:t>
      </w:r>
      <w:r>
        <w:rPr>
          <w:sz w:val="24"/>
        </w:rPr>
        <w:t>ana</w:t>
      </w:r>
      <w:r w:rsidR="00070134">
        <w:rPr>
          <w:sz w:val="24"/>
        </w:rPr>
        <w:t>lysis resembling</w:t>
      </w:r>
      <w:r>
        <w:rPr>
          <w:sz w:val="24"/>
        </w:rPr>
        <w:t xml:space="preserve"> the analysis that would be </w:t>
      </w:r>
      <w:r w:rsidR="00335061">
        <w:rPr>
          <w:sz w:val="24"/>
        </w:rPr>
        <w:t xml:space="preserve">made </w:t>
      </w:r>
      <w:r w:rsidR="0068389E">
        <w:rPr>
          <w:sz w:val="24"/>
        </w:rPr>
        <w:t xml:space="preserve">for a comparison </w:t>
      </w:r>
      <w:r>
        <w:rPr>
          <w:sz w:val="24"/>
        </w:rPr>
        <w:t>with the BIPM</w:t>
      </w:r>
      <w:r w:rsidR="00335061">
        <w:rPr>
          <w:sz w:val="24"/>
        </w:rPr>
        <w:t xml:space="preserve"> </w:t>
      </w:r>
      <w:r>
        <w:rPr>
          <w:sz w:val="24"/>
        </w:rPr>
        <w:t xml:space="preserve">rather than </w:t>
      </w:r>
      <w:r w:rsidR="00335061">
        <w:rPr>
          <w:sz w:val="24"/>
        </w:rPr>
        <w:t>linked through a regional comparis</w:t>
      </w:r>
      <w:r>
        <w:rPr>
          <w:sz w:val="24"/>
        </w:rPr>
        <w:t xml:space="preserve">on. To </w:t>
      </w:r>
      <w:proofErr w:type="gramStart"/>
      <w:r>
        <w:rPr>
          <w:sz w:val="24"/>
        </w:rPr>
        <w:t>this</w:t>
      </w:r>
      <w:proofErr w:type="gramEnd"/>
      <w:r>
        <w:rPr>
          <w:sz w:val="24"/>
        </w:rPr>
        <w:t xml:space="preserve"> uncertainty two components are added, </w:t>
      </w:r>
      <w:proofErr w:type="spellStart"/>
      <w:r w:rsidR="00335061" w:rsidRPr="00335061">
        <w:rPr>
          <w:i/>
          <w:sz w:val="24"/>
        </w:rPr>
        <w:t>u</w:t>
      </w:r>
      <w:r w:rsidR="00070134">
        <w:rPr>
          <w:sz w:val="24"/>
          <w:vertAlign w:val="subscript"/>
        </w:rPr>
        <w:t>tr</w:t>
      </w:r>
      <w:proofErr w:type="spellEnd"/>
      <w:r w:rsidR="00335061">
        <w:rPr>
          <w:sz w:val="24"/>
        </w:rPr>
        <w:t xml:space="preserve"> arising from the transfer chambers and </w:t>
      </w:r>
      <w:proofErr w:type="spellStart"/>
      <w:r w:rsidR="00335061" w:rsidRPr="00335061">
        <w:rPr>
          <w:i/>
          <w:sz w:val="24"/>
        </w:rPr>
        <w:t>u</w:t>
      </w:r>
      <w:r w:rsidR="00335061" w:rsidRPr="00335061">
        <w:rPr>
          <w:sz w:val="24"/>
          <w:vertAlign w:val="subscript"/>
        </w:rPr>
        <w:t>LINK</w:t>
      </w:r>
      <w:proofErr w:type="spellEnd"/>
      <w:r w:rsidR="00335061">
        <w:rPr>
          <w:sz w:val="24"/>
        </w:rPr>
        <w:t xml:space="preserve"> arising from the linking mechanism. The result is a</w:t>
      </w:r>
      <w:r w:rsidR="0068389E">
        <w:rPr>
          <w:sz w:val="24"/>
        </w:rPr>
        <w:t xml:space="preserve"> relatively straightforward</w:t>
      </w:r>
      <w:r w:rsidR="00335061">
        <w:rPr>
          <w:sz w:val="24"/>
        </w:rPr>
        <w:t xml:space="preserve"> analysis </w:t>
      </w:r>
      <w:r w:rsidR="0068389E">
        <w:rPr>
          <w:sz w:val="24"/>
        </w:rPr>
        <w:t xml:space="preserve">that </w:t>
      </w:r>
      <w:r w:rsidR="00335061">
        <w:rPr>
          <w:sz w:val="24"/>
        </w:rPr>
        <w:t xml:space="preserve">is </w:t>
      </w:r>
      <w:r w:rsidR="00A3085F">
        <w:rPr>
          <w:sz w:val="24"/>
        </w:rPr>
        <w:t>appropriate for the level of uncertain</w:t>
      </w:r>
      <w:r w:rsidR="00ED5A74">
        <w:rPr>
          <w:sz w:val="24"/>
        </w:rPr>
        <w:t>ty of the dosimetric input data</w:t>
      </w:r>
      <w:r w:rsidR="00E046D5">
        <w:rPr>
          <w:sz w:val="24"/>
        </w:rPr>
        <w:t>.</w:t>
      </w:r>
    </w:p>
    <w:p w:rsidR="00A3085F" w:rsidRDefault="00ED5A74">
      <w:pPr>
        <w:pStyle w:val="Heading1"/>
        <w:spacing w:before="240" w:line="300" w:lineRule="exact"/>
        <w:rPr>
          <w:b/>
          <w:sz w:val="24"/>
          <w:u w:val="none"/>
        </w:rPr>
      </w:pPr>
      <w:r>
        <w:rPr>
          <w:b/>
          <w:sz w:val="24"/>
          <w:u w:val="none"/>
        </w:rPr>
        <w:t>1</w:t>
      </w:r>
      <w:r w:rsidR="00E52DA8">
        <w:rPr>
          <w:b/>
          <w:sz w:val="24"/>
          <w:u w:val="none"/>
        </w:rPr>
        <w:t xml:space="preserve">.  </w:t>
      </w:r>
      <w:r w:rsidR="003D1070">
        <w:rPr>
          <w:b/>
          <w:sz w:val="24"/>
          <w:u w:val="none"/>
        </w:rPr>
        <w:t>Evaluation of degrees of equivalence</w:t>
      </w:r>
    </w:p>
    <w:p w:rsidR="00AB6D16" w:rsidRDefault="003D1070" w:rsidP="00AB6D16">
      <w:pPr>
        <w:spacing w:before="120" w:line="300" w:lineRule="exact"/>
        <w:rPr>
          <w:sz w:val="24"/>
        </w:rPr>
      </w:pPr>
      <w:r>
        <w:rPr>
          <w:sz w:val="24"/>
        </w:rPr>
        <w:t xml:space="preserve">The degree of equivalence </w:t>
      </w:r>
      <w:r w:rsidR="00AB6D16">
        <w:rPr>
          <w:sz w:val="24"/>
        </w:rPr>
        <w:t xml:space="preserve">for each </w:t>
      </w:r>
      <w:r w:rsidR="008838E7">
        <w:rPr>
          <w:sz w:val="24"/>
        </w:rPr>
        <w:t xml:space="preserve">of </w:t>
      </w:r>
      <w:r w:rsidR="008838E7" w:rsidRPr="00783EDB">
        <w:rPr>
          <w:i/>
          <w:sz w:val="24"/>
        </w:rPr>
        <w:t>n</w:t>
      </w:r>
      <w:r w:rsidR="008838E7">
        <w:rPr>
          <w:sz w:val="24"/>
        </w:rPr>
        <w:t xml:space="preserve"> participating laboratories</w:t>
      </w:r>
      <w:r w:rsidR="00AB6D16">
        <w:rPr>
          <w:sz w:val="24"/>
        </w:rPr>
        <w:t xml:space="preserve"> </w:t>
      </w:r>
      <w:proofErr w:type="spellStart"/>
      <w:proofErr w:type="gramStart"/>
      <w:r w:rsidR="00AB6D16" w:rsidRPr="00AB6D16">
        <w:rPr>
          <w:i/>
          <w:sz w:val="24"/>
        </w:rPr>
        <w:t>i</w:t>
      </w:r>
      <w:proofErr w:type="spellEnd"/>
      <w:r w:rsidR="00AB6D16">
        <w:rPr>
          <w:sz w:val="24"/>
        </w:rPr>
        <w:t xml:space="preserve"> </w:t>
      </w:r>
      <w:r w:rsidR="008838E7">
        <w:rPr>
          <w:sz w:val="24"/>
        </w:rPr>
        <w:t> =</w:t>
      </w:r>
      <w:proofErr w:type="gramEnd"/>
      <w:r w:rsidR="008838E7">
        <w:rPr>
          <w:sz w:val="24"/>
        </w:rPr>
        <w:t xml:space="preserve"> 1 </w:t>
      </w:r>
      <w:proofErr w:type="spellStart"/>
      <w:r w:rsidR="008838E7">
        <w:rPr>
          <w:sz w:val="24"/>
        </w:rPr>
        <w:t xml:space="preserve">to </w:t>
      </w:r>
      <w:r w:rsidR="008838E7" w:rsidRPr="00783EDB">
        <w:rPr>
          <w:i/>
          <w:sz w:val="24"/>
        </w:rPr>
        <w:t>n</w:t>
      </w:r>
      <w:proofErr w:type="spellEnd"/>
      <w:r w:rsidR="008838E7">
        <w:rPr>
          <w:sz w:val="24"/>
        </w:rPr>
        <w:t xml:space="preserve"> </w:t>
      </w:r>
      <w:r w:rsidR="00AB6D16">
        <w:rPr>
          <w:sz w:val="24"/>
        </w:rPr>
        <w:t>(</w:t>
      </w:r>
      <w:r w:rsidR="008B1BCC">
        <w:rPr>
          <w:sz w:val="24"/>
        </w:rPr>
        <w:t>excluding the LINK</w:t>
      </w:r>
      <w:r w:rsidR="00AB6D16">
        <w:rPr>
          <w:sz w:val="24"/>
        </w:rPr>
        <w:t xml:space="preserve">, which by definition cannot obtain a new degree of equivalence) </w:t>
      </w:r>
      <w:r>
        <w:rPr>
          <w:sz w:val="24"/>
        </w:rPr>
        <w:t xml:space="preserve">is defined as the difference </w:t>
      </w:r>
      <w:r w:rsidRPr="003D1070">
        <w:rPr>
          <w:i/>
          <w:sz w:val="24"/>
        </w:rPr>
        <w:t>D</w:t>
      </w:r>
      <w:r w:rsidRPr="003D1070">
        <w:rPr>
          <w:i/>
          <w:sz w:val="24"/>
          <w:vertAlign w:val="subscript"/>
        </w:rPr>
        <w:t>i</w:t>
      </w:r>
      <w:r>
        <w:rPr>
          <w:sz w:val="24"/>
        </w:rPr>
        <w:t> = </w:t>
      </w:r>
      <w:proofErr w:type="spellStart"/>
      <w:r w:rsidRPr="003D1070">
        <w:rPr>
          <w:i/>
          <w:sz w:val="24"/>
        </w:rPr>
        <w:t>R</w:t>
      </w:r>
      <w:r w:rsidRPr="003D1070">
        <w:rPr>
          <w:i/>
          <w:sz w:val="24"/>
          <w:vertAlign w:val="subscript"/>
        </w:rPr>
        <w:t>i</w:t>
      </w:r>
      <w:proofErr w:type="spellEnd"/>
      <w:r>
        <w:rPr>
          <w:sz w:val="24"/>
        </w:rPr>
        <w:t> – 1 and its expanded (</w:t>
      </w:r>
      <w:r w:rsidRPr="00B52027">
        <w:rPr>
          <w:i/>
          <w:sz w:val="24"/>
        </w:rPr>
        <w:t>k</w:t>
      </w:r>
      <w:r>
        <w:rPr>
          <w:sz w:val="24"/>
        </w:rPr>
        <w:t xml:space="preserve"> = 2) uncertainty </w:t>
      </w:r>
      <w:proofErr w:type="spellStart"/>
      <w:r w:rsidRPr="00AB6D16">
        <w:rPr>
          <w:i/>
          <w:sz w:val="24"/>
        </w:rPr>
        <w:t>U</w:t>
      </w:r>
      <w:r w:rsidRPr="00AB6D16">
        <w:rPr>
          <w:i/>
          <w:sz w:val="24"/>
          <w:vertAlign w:val="subscript"/>
        </w:rPr>
        <w:t>i</w:t>
      </w:r>
      <w:proofErr w:type="spellEnd"/>
      <w:r>
        <w:rPr>
          <w:sz w:val="24"/>
        </w:rPr>
        <w:t> = 2</w:t>
      </w:r>
      <w:r w:rsidRPr="00AB6D16">
        <w:rPr>
          <w:i/>
          <w:sz w:val="24"/>
        </w:rPr>
        <w:t>u</w:t>
      </w:r>
      <w:r w:rsidRPr="00AB6D16">
        <w:rPr>
          <w:i/>
          <w:sz w:val="24"/>
          <w:vertAlign w:val="subscript"/>
        </w:rPr>
        <w:t>R</w:t>
      </w:r>
      <w:r w:rsidRPr="00AB6D16">
        <w:rPr>
          <w:sz w:val="24"/>
          <w:vertAlign w:val="subscript"/>
        </w:rPr>
        <w:t>,</w:t>
      </w:r>
      <w:r w:rsidRPr="00AB6D16">
        <w:rPr>
          <w:i/>
          <w:sz w:val="24"/>
          <w:vertAlign w:val="subscript"/>
        </w:rPr>
        <w:t>i</w:t>
      </w:r>
      <w:r w:rsidR="00391CAA">
        <w:rPr>
          <w:sz w:val="24"/>
        </w:rPr>
        <w:t>, where</w:t>
      </w:r>
      <w:r w:rsidR="00D41C4E">
        <w:rPr>
          <w:rStyle w:val="FootnoteReference"/>
          <w:sz w:val="24"/>
        </w:rPr>
        <w:footnoteReference w:id="1"/>
      </w:r>
    </w:p>
    <w:p w:rsidR="00AB6D16" w:rsidRDefault="006C0CB8" w:rsidP="00AB6D16">
      <w:pPr>
        <w:spacing w:before="120"/>
        <w:ind w:firstLine="709"/>
        <w:rPr>
          <w:sz w:val="24"/>
        </w:rPr>
      </w:pPr>
      <w:r w:rsidRPr="00391CAA">
        <w:rPr>
          <w:position w:val="-32"/>
          <w:sz w:val="24"/>
        </w:rPr>
        <w:object w:dxaOrig="72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6.95pt" o:ole="" fillcolor="window">
            <v:imagedata r:id="rId9" o:title=""/>
          </v:shape>
          <o:OLEObject Type="Embed" ProgID="Equation.3" ShapeID="_x0000_i1025" DrawAspect="Content" ObjectID="_1559046974" r:id="rId10"/>
        </w:object>
      </w:r>
      <w:r w:rsidR="00391CAA">
        <w:rPr>
          <w:sz w:val="24"/>
        </w:rPr>
        <w:tab/>
      </w:r>
      <w:r w:rsidR="00ED5A74">
        <w:rPr>
          <w:sz w:val="24"/>
        </w:rPr>
        <w:t>(1</w:t>
      </w:r>
      <w:r w:rsidR="00AB6D16">
        <w:rPr>
          <w:sz w:val="24"/>
        </w:rPr>
        <w:t>)</w:t>
      </w:r>
    </w:p>
    <w:p w:rsidR="00AB6D16" w:rsidRDefault="00A17CE0" w:rsidP="00AB6D16">
      <w:pPr>
        <w:spacing w:before="120" w:line="300" w:lineRule="exact"/>
        <w:rPr>
          <w:sz w:val="24"/>
        </w:rPr>
      </w:pPr>
      <w:proofErr w:type="gramStart"/>
      <w:r>
        <w:rPr>
          <w:sz w:val="24"/>
        </w:rPr>
        <w:t>a</w:t>
      </w:r>
      <w:r w:rsidR="00AB6D16">
        <w:rPr>
          <w:sz w:val="24"/>
        </w:rPr>
        <w:t>nd</w:t>
      </w:r>
      <w:proofErr w:type="gramEnd"/>
      <w:r>
        <w:rPr>
          <w:sz w:val="24"/>
        </w:rPr>
        <w:t xml:space="preserve"> we take</w:t>
      </w:r>
      <w:r w:rsidR="00ED5A74">
        <w:rPr>
          <w:rStyle w:val="FootnoteReference"/>
          <w:sz w:val="24"/>
        </w:rPr>
        <w:footnoteReference w:id="2"/>
      </w:r>
    </w:p>
    <w:p w:rsidR="00AB6D16" w:rsidRDefault="004422C2" w:rsidP="00AB6D16">
      <w:pPr>
        <w:spacing w:before="120"/>
        <w:ind w:firstLine="709"/>
        <w:rPr>
          <w:sz w:val="24"/>
        </w:rPr>
      </w:pPr>
      <w:r w:rsidRPr="004422C2">
        <w:rPr>
          <w:position w:val="-32"/>
          <w:sz w:val="24"/>
        </w:rPr>
        <w:object w:dxaOrig="5140" w:dyaOrig="760">
          <v:shape id="_x0000_i1026" type="#_x0000_t75" style="width:256.7pt;height:38.35pt" o:ole="" fillcolor="window">
            <v:imagedata r:id="rId11" o:title=""/>
          </v:shape>
          <o:OLEObject Type="Embed" ProgID="Equation.3" ShapeID="_x0000_i1026" DrawAspect="Content" ObjectID="_1559046975" r:id="rId12"/>
        </w:object>
      </w:r>
      <w:r w:rsidR="00AB6D16">
        <w:rPr>
          <w:sz w:val="24"/>
        </w:rPr>
        <w:tab/>
      </w:r>
      <w:r w:rsidR="00AB6D16">
        <w:rPr>
          <w:sz w:val="24"/>
        </w:rPr>
        <w:tab/>
      </w:r>
      <w:r w:rsidR="00AB6D16">
        <w:rPr>
          <w:sz w:val="24"/>
        </w:rPr>
        <w:tab/>
      </w:r>
      <w:r w:rsidR="00391CAA">
        <w:rPr>
          <w:sz w:val="24"/>
        </w:rPr>
        <w:tab/>
      </w:r>
      <w:r w:rsidR="00ED5A74">
        <w:rPr>
          <w:sz w:val="24"/>
        </w:rPr>
        <w:t>(2</w:t>
      </w:r>
      <w:r w:rsidR="00AB6D16">
        <w:rPr>
          <w:sz w:val="24"/>
        </w:rPr>
        <w:t>)</w:t>
      </w:r>
    </w:p>
    <w:p w:rsidR="00391CAA" w:rsidRDefault="00AB6D16" w:rsidP="00C57777">
      <w:pPr>
        <w:spacing w:before="120" w:line="300" w:lineRule="exact"/>
        <w:rPr>
          <w:sz w:val="24"/>
        </w:rPr>
      </w:pPr>
      <w:r>
        <w:rPr>
          <w:sz w:val="24"/>
        </w:rPr>
        <w:t xml:space="preserve">Here, </w:t>
      </w:r>
      <w:proofErr w:type="spellStart"/>
      <w:r w:rsidR="00A3085F">
        <w:rPr>
          <w:i/>
          <w:sz w:val="24"/>
        </w:rPr>
        <w:t>N</w:t>
      </w:r>
      <w:r w:rsidR="00391CAA" w:rsidRPr="00391CAA">
        <w:rPr>
          <w:i/>
          <w:sz w:val="24"/>
          <w:vertAlign w:val="subscript"/>
        </w:rPr>
        <w:t>K</w:t>
      </w:r>
      <w:proofErr w:type="gramStart"/>
      <w:r w:rsidR="00391CAA" w:rsidRPr="00391CAA">
        <w:rPr>
          <w:i/>
          <w:sz w:val="24"/>
          <w:vertAlign w:val="subscript"/>
        </w:rPr>
        <w:t>,</w:t>
      </w:r>
      <w:r w:rsidR="00A3085F">
        <w:rPr>
          <w:i/>
          <w:sz w:val="24"/>
          <w:vertAlign w:val="subscript"/>
        </w:rPr>
        <w:t>i</w:t>
      </w:r>
      <w:proofErr w:type="spellEnd"/>
      <w:proofErr w:type="gramEnd"/>
      <w:r w:rsidR="00A3085F">
        <w:rPr>
          <w:sz w:val="24"/>
        </w:rPr>
        <w:t xml:space="preserve"> </w:t>
      </w:r>
      <w:r>
        <w:rPr>
          <w:sz w:val="24"/>
        </w:rPr>
        <w:t>is the transfer chamber calibration coefficient</w:t>
      </w:r>
      <w:r w:rsidR="00ED5A74">
        <w:rPr>
          <w:sz w:val="24"/>
        </w:rPr>
        <w:t xml:space="preserve"> for laboratory </w:t>
      </w:r>
      <w:proofErr w:type="spellStart"/>
      <w:r w:rsidR="00ED5A74" w:rsidRPr="00ED5A74">
        <w:rPr>
          <w:i/>
          <w:sz w:val="24"/>
        </w:rPr>
        <w:t>i</w:t>
      </w:r>
      <w:proofErr w:type="spellEnd"/>
      <w:r>
        <w:rPr>
          <w:sz w:val="24"/>
        </w:rPr>
        <w:t xml:space="preserve"> </w:t>
      </w:r>
      <w:r w:rsidR="00E54A12">
        <w:rPr>
          <w:sz w:val="24"/>
        </w:rPr>
        <w:t>(expanded in terms of air-</w:t>
      </w:r>
      <w:r w:rsidR="00391CAA">
        <w:rPr>
          <w:sz w:val="24"/>
        </w:rPr>
        <w:t xml:space="preserve">kerma </w:t>
      </w:r>
      <w:r w:rsidR="00E54A12">
        <w:rPr>
          <w:sz w:val="24"/>
        </w:rPr>
        <w:t xml:space="preserve">rate </w:t>
      </w:r>
      <w:r w:rsidR="00391CAA">
        <w:rPr>
          <w:sz w:val="24"/>
        </w:rPr>
        <w:t xml:space="preserve">and ionization current as </w:t>
      </w:r>
      <w:r w:rsidR="00391CAA" w:rsidRPr="00391CAA">
        <w:rPr>
          <w:i/>
          <w:sz w:val="24"/>
        </w:rPr>
        <w:t>K</w:t>
      </w:r>
      <w:r w:rsidR="00391CAA" w:rsidRPr="00391CAA">
        <w:rPr>
          <w:i/>
          <w:sz w:val="24"/>
          <w:vertAlign w:val="subscript"/>
        </w:rPr>
        <w:t>i</w:t>
      </w:r>
      <w:r w:rsidR="00391CAA">
        <w:rPr>
          <w:sz w:val="24"/>
        </w:rPr>
        <w:t>/</w:t>
      </w:r>
      <w:r w:rsidR="00391CAA" w:rsidRPr="00391CAA">
        <w:rPr>
          <w:i/>
          <w:sz w:val="24"/>
        </w:rPr>
        <w:t>I</w:t>
      </w:r>
      <w:r w:rsidR="00391CAA" w:rsidRPr="00391CAA">
        <w:rPr>
          <w:i/>
          <w:sz w:val="24"/>
          <w:vertAlign w:val="subscript"/>
        </w:rPr>
        <w:t>i</w:t>
      </w:r>
      <w:r w:rsidR="00391CAA">
        <w:rPr>
          <w:sz w:val="24"/>
        </w:rPr>
        <w:t xml:space="preserve">) </w:t>
      </w:r>
      <w:r>
        <w:rPr>
          <w:sz w:val="24"/>
        </w:rPr>
        <w:t xml:space="preserve">and </w:t>
      </w:r>
      <w:proofErr w:type="spellStart"/>
      <w:r w:rsidRPr="00AB6D16">
        <w:rPr>
          <w:i/>
          <w:sz w:val="24"/>
        </w:rPr>
        <w:t>u</w:t>
      </w:r>
      <w:r w:rsidRPr="00AB6D16">
        <w:rPr>
          <w:i/>
          <w:sz w:val="24"/>
          <w:vertAlign w:val="subscript"/>
        </w:rPr>
        <w:t>i</w:t>
      </w:r>
      <w:proofErr w:type="spellEnd"/>
      <w:r>
        <w:rPr>
          <w:sz w:val="24"/>
        </w:rPr>
        <w:t xml:space="preserve"> </w:t>
      </w:r>
      <w:r w:rsidR="0068389E">
        <w:rPr>
          <w:sz w:val="24"/>
        </w:rPr>
        <w:t xml:space="preserve">is </w:t>
      </w:r>
      <w:r w:rsidR="00A3085F">
        <w:rPr>
          <w:sz w:val="24"/>
        </w:rPr>
        <w:t>its combined standard uncertainty</w:t>
      </w:r>
      <w:r w:rsidR="00ED5A74">
        <w:rPr>
          <w:sz w:val="24"/>
        </w:rPr>
        <w:t>. Similarly, f</w:t>
      </w:r>
      <w:r w:rsidR="008B1BCC">
        <w:rPr>
          <w:sz w:val="24"/>
        </w:rPr>
        <w:t>or the LINK</w:t>
      </w:r>
      <w:r w:rsidR="002B39F1">
        <w:rPr>
          <w:sz w:val="24"/>
        </w:rPr>
        <w:t xml:space="preserve"> </w:t>
      </w:r>
      <w:r w:rsidR="00391CAA">
        <w:rPr>
          <w:sz w:val="24"/>
        </w:rPr>
        <w:t xml:space="preserve">result in the regional comparison we have </w:t>
      </w:r>
      <w:r w:rsidR="002B39F1" w:rsidRPr="002B39F1">
        <w:rPr>
          <w:i/>
          <w:sz w:val="24"/>
        </w:rPr>
        <w:t>N</w:t>
      </w:r>
      <w:r w:rsidR="00391CAA" w:rsidRPr="00391CAA">
        <w:rPr>
          <w:i/>
          <w:sz w:val="24"/>
          <w:vertAlign w:val="subscript"/>
        </w:rPr>
        <w:t>K</w:t>
      </w:r>
      <w:proofErr w:type="gramStart"/>
      <w:r w:rsidR="00391CAA" w:rsidRPr="00391CAA">
        <w:rPr>
          <w:sz w:val="24"/>
          <w:vertAlign w:val="subscript"/>
        </w:rPr>
        <w:t>,</w:t>
      </w:r>
      <w:r w:rsidR="002B39F1" w:rsidRPr="002B39F1">
        <w:rPr>
          <w:sz w:val="24"/>
          <w:vertAlign w:val="subscript"/>
        </w:rPr>
        <w:t>LINK</w:t>
      </w:r>
      <w:proofErr w:type="gramEnd"/>
      <w:r w:rsidR="002B39F1">
        <w:rPr>
          <w:sz w:val="24"/>
        </w:rPr>
        <w:t>.</w:t>
      </w:r>
      <w:r w:rsidR="00A3085F">
        <w:rPr>
          <w:sz w:val="24"/>
        </w:rPr>
        <w:t xml:space="preserve"> </w:t>
      </w:r>
      <w:r>
        <w:rPr>
          <w:sz w:val="24"/>
        </w:rPr>
        <w:t xml:space="preserve">The ratio </w:t>
      </w:r>
      <w:r w:rsidR="000617E7">
        <w:rPr>
          <w:i/>
          <w:sz w:val="24"/>
        </w:rPr>
        <w:t>R</w:t>
      </w:r>
      <w:r w:rsidR="0009068A">
        <w:rPr>
          <w:sz w:val="24"/>
          <w:vertAlign w:val="subscript"/>
        </w:rPr>
        <w:t>L</w:t>
      </w:r>
      <w:r>
        <w:rPr>
          <w:sz w:val="24"/>
          <w:vertAlign w:val="subscript"/>
        </w:rPr>
        <w:t>INK</w:t>
      </w:r>
      <w:proofErr w:type="gramStart"/>
      <w:r w:rsidR="000617E7">
        <w:rPr>
          <w:sz w:val="24"/>
          <w:vertAlign w:val="subscript"/>
        </w:rPr>
        <w:t>,BIPM</w:t>
      </w:r>
      <w:proofErr w:type="gramEnd"/>
      <w:r w:rsidR="000617E7">
        <w:rPr>
          <w:sz w:val="24"/>
        </w:rPr>
        <w:t xml:space="preserve"> r</w:t>
      </w:r>
      <w:r w:rsidR="0009068A">
        <w:rPr>
          <w:sz w:val="24"/>
        </w:rPr>
        <w:t>epresents</w:t>
      </w:r>
      <w:r w:rsidR="00A3085F">
        <w:rPr>
          <w:sz w:val="24"/>
        </w:rPr>
        <w:t xml:space="preserve"> the</w:t>
      </w:r>
      <w:r w:rsidR="00986470">
        <w:rPr>
          <w:sz w:val="24"/>
        </w:rPr>
        <w:t xml:space="preserve"> result of </w:t>
      </w:r>
      <w:r w:rsidR="0009068A">
        <w:rPr>
          <w:sz w:val="24"/>
        </w:rPr>
        <w:t xml:space="preserve">the LINK in the corresponding </w:t>
      </w:r>
      <w:r w:rsidR="002B39F1">
        <w:rPr>
          <w:sz w:val="24"/>
        </w:rPr>
        <w:t xml:space="preserve">BIPM </w:t>
      </w:r>
      <w:r w:rsidR="0009068A">
        <w:rPr>
          <w:sz w:val="24"/>
        </w:rPr>
        <w:t>international</w:t>
      </w:r>
      <w:r w:rsidR="00986470">
        <w:rPr>
          <w:sz w:val="24"/>
        </w:rPr>
        <w:t xml:space="preserve"> comparison </w:t>
      </w:r>
      <w:r w:rsidR="000617E7">
        <w:rPr>
          <w:sz w:val="24"/>
        </w:rPr>
        <w:t>(available in the KCDB)</w:t>
      </w:r>
      <w:r w:rsidR="00A17CE0">
        <w:rPr>
          <w:sz w:val="24"/>
        </w:rPr>
        <w:t>, in which</w:t>
      </w:r>
      <w:r w:rsidR="00A3085F">
        <w:rPr>
          <w:sz w:val="24"/>
        </w:rPr>
        <w:t xml:space="preserve"> </w:t>
      </w:r>
      <w:proofErr w:type="spellStart"/>
      <w:r>
        <w:rPr>
          <w:i/>
          <w:sz w:val="24"/>
        </w:rPr>
        <w:t>u</w:t>
      </w:r>
      <w:r>
        <w:rPr>
          <w:sz w:val="24"/>
          <w:vertAlign w:val="subscript"/>
        </w:rPr>
        <w:t>BIPM</w:t>
      </w:r>
      <w:proofErr w:type="spellEnd"/>
      <w:r>
        <w:rPr>
          <w:sz w:val="24"/>
        </w:rPr>
        <w:t xml:space="preserve"> is </w:t>
      </w:r>
      <w:r w:rsidR="00A3085F">
        <w:rPr>
          <w:sz w:val="24"/>
        </w:rPr>
        <w:t>the combined standard uncertainty of the BIPM</w:t>
      </w:r>
      <w:r w:rsidR="000617E7">
        <w:rPr>
          <w:sz w:val="24"/>
        </w:rPr>
        <w:t xml:space="preserve"> standard</w:t>
      </w:r>
      <w:r w:rsidR="00ED5A74">
        <w:rPr>
          <w:sz w:val="24"/>
        </w:rPr>
        <w:t xml:space="preserve"> as described in the relevant comparison report</w:t>
      </w:r>
      <w:r w:rsidR="00A3085F">
        <w:rPr>
          <w:sz w:val="24"/>
        </w:rPr>
        <w:t>.</w:t>
      </w:r>
    </w:p>
    <w:p w:rsidR="002B39F1" w:rsidRDefault="00391CAA" w:rsidP="00C57777">
      <w:pPr>
        <w:spacing w:before="120" w:line="300" w:lineRule="exact"/>
        <w:rPr>
          <w:sz w:val="24"/>
        </w:rPr>
      </w:pPr>
      <w:r>
        <w:rPr>
          <w:sz w:val="24"/>
        </w:rPr>
        <w:t>The two expansions on the right-hand side of equation (</w:t>
      </w:r>
      <w:r w:rsidR="00ED5A74">
        <w:rPr>
          <w:sz w:val="24"/>
        </w:rPr>
        <w:t>1</w:t>
      </w:r>
      <w:r>
        <w:rPr>
          <w:sz w:val="24"/>
        </w:rPr>
        <w:t xml:space="preserve">) express, respectively, a direct or indirect comparison with the BIPM, from which we </w:t>
      </w:r>
      <w:r w:rsidR="00ED5A74">
        <w:rPr>
          <w:sz w:val="24"/>
        </w:rPr>
        <w:t>anticipate</w:t>
      </w:r>
      <w:r>
        <w:rPr>
          <w:sz w:val="24"/>
        </w:rPr>
        <w:t xml:space="preserve"> cancellation of</w:t>
      </w:r>
      <w:r w:rsidR="00740366">
        <w:rPr>
          <w:sz w:val="24"/>
        </w:rPr>
        <w:t xml:space="preserve"> the non-statistical</w:t>
      </w:r>
      <w:r w:rsidR="006C0CB8">
        <w:rPr>
          <w:sz w:val="24"/>
        </w:rPr>
        <w:t xml:space="preserve"> uncertainties for</w:t>
      </w:r>
      <w:r>
        <w:rPr>
          <w:sz w:val="24"/>
        </w:rPr>
        <w:t xml:space="preserve"> </w:t>
      </w:r>
      <w:r w:rsidRPr="00391CAA">
        <w:rPr>
          <w:i/>
          <w:sz w:val="24"/>
        </w:rPr>
        <w:t>K</w:t>
      </w:r>
      <w:r w:rsidRPr="00391CAA">
        <w:rPr>
          <w:sz w:val="24"/>
          <w:vertAlign w:val="subscript"/>
        </w:rPr>
        <w:t>LINK</w:t>
      </w:r>
      <w:r>
        <w:rPr>
          <w:sz w:val="24"/>
        </w:rPr>
        <w:t xml:space="preserve"> </w:t>
      </w:r>
      <w:r w:rsidR="006C0CB8">
        <w:rPr>
          <w:sz w:val="24"/>
        </w:rPr>
        <w:t xml:space="preserve">in both cases </w:t>
      </w:r>
      <w:r>
        <w:rPr>
          <w:sz w:val="24"/>
        </w:rPr>
        <w:t>and, for an indirect comparison, cancellation also of</w:t>
      </w:r>
      <w:r w:rsidR="006C0CB8">
        <w:rPr>
          <w:sz w:val="24"/>
        </w:rPr>
        <w:t xml:space="preserve"> those for</w:t>
      </w:r>
      <w:r>
        <w:rPr>
          <w:sz w:val="24"/>
        </w:rPr>
        <w:t xml:space="preserve"> </w:t>
      </w:r>
      <w:r w:rsidRPr="00391CAA">
        <w:rPr>
          <w:i/>
          <w:sz w:val="24"/>
        </w:rPr>
        <w:t>I</w:t>
      </w:r>
      <w:r w:rsidRPr="00391CAA">
        <w:rPr>
          <w:sz w:val="24"/>
          <w:vertAlign w:val="subscript"/>
        </w:rPr>
        <w:t>LINK</w:t>
      </w:r>
      <w:r>
        <w:rPr>
          <w:sz w:val="24"/>
        </w:rPr>
        <w:t xml:space="preserve"> at the expense of introducing </w:t>
      </w:r>
      <w:r w:rsidR="00ED5A74">
        <w:rPr>
          <w:sz w:val="24"/>
        </w:rPr>
        <w:t xml:space="preserve">those for </w:t>
      </w:r>
      <w:r w:rsidRPr="00391CAA">
        <w:rPr>
          <w:i/>
          <w:sz w:val="24"/>
        </w:rPr>
        <w:t>I</w:t>
      </w:r>
      <w:r w:rsidRPr="00391CAA">
        <w:rPr>
          <w:sz w:val="24"/>
          <w:vertAlign w:val="subscript"/>
        </w:rPr>
        <w:t>BIPM</w:t>
      </w:r>
      <w:r w:rsidR="0068389E">
        <w:rPr>
          <w:rStyle w:val="FootnoteReference"/>
          <w:sz w:val="24"/>
        </w:rPr>
        <w:footnoteReference w:id="3"/>
      </w:r>
      <w:r>
        <w:rPr>
          <w:sz w:val="24"/>
        </w:rPr>
        <w:t>. The superscripts ‘</w:t>
      </w:r>
      <w:proofErr w:type="spellStart"/>
      <w:r>
        <w:rPr>
          <w:sz w:val="24"/>
        </w:rPr>
        <w:t>reg</w:t>
      </w:r>
      <w:proofErr w:type="spellEnd"/>
      <w:r>
        <w:rPr>
          <w:sz w:val="24"/>
        </w:rPr>
        <w:t xml:space="preserve">’ </w:t>
      </w:r>
      <w:r>
        <w:rPr>
          <w:sz w:val="24"/>
        </w:rPr>
        <w:lastRenderedPageBreak/>
        <w:t>and ‘inter’</w:t>
      </w:r>
      <w:r w:rsidR="00ED5A74">
        <w:rPr>
          <w:sz w:val="24"/>
        </w:rPr>
        <w:t xml:space="preserve"> for the LINK identify the reg</w:t>
      </w:r>
      <w:r>
        <w:rPr>
          <w:sz w:val="24"/>
        </w:rPr>
        <w:t xml:space="preserve">ional and </w:t>
      </w:r>
      <w:r w:rsidR="004422C2">
        <w:rPr>
          <w:sz w:val="24"/>
        </w:rPr>
        <w:t xml:space="preserve">BIPM </w:t>
      </w:r>
      <w:r>
        <w:rPr>
          <w:sz w:val="24"/>
        </w:rPr>
        <w:t>international comparison, respectively.</w:t>
      </w:r>
      <w:r w:rsidR="00851404">
        <w:rPr>
          <w:sz w:val="24"/>
        </w:rPr>
        <w:t xml:space="preserve"> The uncertainties</w:t>
      </w:r>
      <w:r w:rsidR="00C57777">
        <w:rPr>
          <w:sz w:val="24"/>
        </w:rPr>
        <w:t xml:space="preserve"> </w:t>
      </w:r>
      <w:proofErr w:type="spellStart"/>
      <w:r w:rsidR="003D1070" w:rsidRPr="003D1070">
        <w:rPr>
          <w:i/>
          <w:sz w:val="24"/>
        </w:rPr>
        <w:t>u</w:t>
      </w:r>
      <w:r w:rsidR="00D41C4E">
        <w:rPr>
          <w:sz w:val="24"/>
          <w:vertAlign w:val="subscript"/>
        </w:rPr>
        <w:t>tr</w:t>
      </w:r>
      <w:proofErr w:type="spellEnd"/>
      <w:r w:rsidR="003D1070">
        <w:rPr>
          <w:sz w:val="24"/>
        </w:rPr>
        <w:t xml:space="preserve"> </w:t>
      </w:r>
      <w:r w:rsidR="0009068A">
        <w:rPr>
          <w:sz w:val="24"/>
        </w:rPr>
        <w:t xml:space="preserve">and </w:t>
      </w:r>
      <w:proofErr w:type="spellStart"/>
      <w:r w:rsidR="0009068A" w:rsidRPr="0009068A">
        <w:rPr>
          <w:i/>
          <w:sz w:val="24"/>
        </w:rPr>
        <w:t>u</w:t>
      </w:r>
      <w:r w:rsidR="0009068A" w:rsidRPr="0009068A">
        <w:rPr>
          <w:sz w:val="24"/>
          <w:vertAlign w:val="subscript"/>
        </w:rPr>
        <w:t>LINK</w:t>
      </w:r>
      <w:proofErr w:type="spellEnd"/>
      <w:r w:rsidR="0009068A">
        <w:rPr>
          <w:sz w:val="24"/>
        </w:rPr>
        <w:t xml:space="preserve"> are discussed</w:t>
      </w:r>
      <w:r w:rsidR="00851404">
        <w:rPr>
          <w:sz w:val="24"/>
        </w:rPr>
        <w:t xml:space="preserve"> in Section 2</w:t>
      </w:r>
      <w:r w:rsidR="003D1070">
        <w:rPr>
          <w:sz w:val="24"/>
        </w:rPr>
        <w:t>.</w:t>
      </w:r>
    </w:p>
    <w:p w:rsidR="003D1070" w:rsidRDefault="00ED5A74" w:rsidP="003D1070">
      <w:pPr>
        <w:spacing w:before="120" w:line="300" w:lineRule="exact"/>
        <w:rPr>
          <w:sz w:val="24"/>
        </w:rPr>
      </w:pPr>
      <w:r>
        <w:rPr>
          <w:sz w:val="24"/>
        </w:rPr>
        <w:t>The summation in equation (2</w:t>
      </w:r>
      <w:r w:rsidR="003D1070">
        <w:rPr>
          <w:sz w:val="24"/>
        </w:rPr>
        <w:t>) contains those components</w:t>
      </w:r>
      <w:r w:rsidR="004422C2">
        <w:rPr>
          <w:sz w:val="24"/>
        </w:rPr>
        <w:t xml:space="preserve"> </w:t>
      </w:r>
      <w:r w:rsidR="004422C2" w:rsidRPr="004422C2">
        <w:rPr>
          <w:i/>
          <w:sz w:val="24"/>
        </w:rPr>
        <w:t>f</w:t>
      </w:r>
      <w:r w:rsidR="004422C2" w:rsidRPr="004422C2">
        <w:rPr>
          <w:i/>
          <w:sz w:val="24"/>
          <w:vertAlign w:val="subscript"/>
        </w:rPr>
        <w:t>j</w:t>
      </w:r>
      <w:r w:rsidR="004422C2">
        <w:rPr>
          <w:i/>
          <w:sz w:val="24"/>
          <w:vertAlign w:val="subscript"/>
        </w:rPr>
        <w:t> </w:t>
      </w:r>
      <w:proofErr w:type="spellStart"/>
      <w:r w:rsidR="004422C2" w:rsidRPr="004422C2">
        <w:rPr>
          <w:i/>
          <w:sz w:val="24"/>
        </w:rPr>
        <w:t>u</w:t>
      </w:r>
      <w:r w:rsidR="004422C2" w:rsidRPr="004422C2">
        <w:rPr>
          <w:i/>
          <w:sz w:val="24"/>
          <w:vertAlign w:val="subscript"/>
        </w:rPr>
        <w:t>i</w:t>
      </w:r>
      <w:proofErr w:type="gramStart"/>
      <w:r w:rsidR="004422C2" w:rsidRPr="004422C2">
        <w:rPr>
          <w:i/>
          <w:sz w:val="24"/>
          <w:vertAlign w:val="subscript"/>
        </w:rPr>
        <w:t>,j</w:t>
      </w:r>
      <w:proofErr w:type="spellEnd"/>
      <w:proofErr w:type="gramEnd"/>
      <w:r w:rsidR="004422C2">
        <w:rPr>
          <w:sz w:val="24"/>
        </w:rPr>
        <w:t xml:space="preserve"> a</w:t>
      </w:r>
      <w:r w:rsidR="003D1070">
        <w:rPr>
          <w:sz w:val="24"/>
        </w:rPr>
        <w:t>nd</w:t>
      </w:r>
      <w:r w:rsidR="004422C2">
        <w:rPr>
          <w:sz w:val="24"/>
        </w:rPr>
        <w:t xml:space="preserve"> </w:t>
      </w:r>
      <w:r w:rsidR="004422C2" w:rsidRPr="004422C2">
        <w:rPr>
          <w:i/>
          <w:sz w:val="24"/>
        </w:rPr>
        <w:t>f</w:t>
      </w:r>
      <w:r w:rsidR="004422C2" w:rsidRPr="004422C2">
        <w:rPr>
          <w:i/>
          <w:sz w:val="24"/>
          <w:vertAlign w:val="subscript"/>
        </w:rPr>
        <w:t>j</w:t>
      </w:r>
      <w:r w:rsidR="004422C2">
        <w:rPr>
          <w:i/>
          <w:sz w:val="24"/>
          <w:vertAlign w:val="subscript"/>
        </w:rPr>
        <w:t xml:space="preserve"> </w:t>
      </w:r>
      <w:proofErr w:type="spellStart"/>
      <w:r w:rsidR="004422C2" w:rsidRPr="004422C2">
        <w:rPr>
          <w:i/>
          <w:sz w:val="24"/>
        </w:rPr>
        <w:t>u</w:t>
      </w:r>
      <w:r w:rsidR="004422C2" w:rsidRPr="004422C2">
        <w:rPr>
          <w:sz w:val="24"/>
          <w:vertAlign w:val="subscript"/>
        </w:rPr>
        <w:t>BIPM,</w:t>
      </w:r>
      <w:r w:rsidR="004422C2" w:rsidRPr="004422C2">
        <w:rPr>
          <w:i/>
          <w:sz w:val="24"/>
          <w:vertAlign w:val="subscript"/>
        </w:rPr>
        <w:t>j</w:t>
      </w:r>
      <w:proofErr w:type="spellEnd"/>
      <w:r w:rsidR="004422C2">
        <w:rPr>
          <w:sz w:val="24"/>
        </w:rPr>
        <w:t xml:space="preserve"> t</w:t>
      </w:r>
      <w:r w:rsidR="003D1070">
        <w:rPr>
          <w:sz w:val="24"/>
        </w:rPr>
        <w:t xml:space="preserve">hat are correlated between laboratory </w:t>
      </w:r>
      <w:r w:rsidR="003D1070">
        <w:rPr>
          <w:i/>
          <w:sz w:val="24"/>
        </w:rPr>
        <w:t>i</w:t>
      </w:r>
      <w:r w:rsidR="003D1070">
        <w:rPr>
          <w:sz w:val="24"/>
        </w:rPr>
        <w:t xml:space="preserve"> and the BIPM, with correlation factor</w:t>
      </w:r>
      <w:r w:rsidR="00732026">
        <w:rPr>
          <w:sz w:val="24"/>
        </w:rPr>
        <w:t xml:space="preserve"> </w:t>
      </w:r>
      <w:r w:rsidR="00732026" w:rsidRPr="00732026">
        <w:rPr>
          <w:i/>
          <w:sz w:val="24"/>
        </w:rPr>
        <w:t>f</w:t>
      </w:r>
      <w:r w:rsidR="00732026" w:rsidRPr="00732026">
        <w:rPr>
          <w:i/>
          <w:sz w:val="24"/>
          <w:vertAlign w:val="subscript"/>
        </w:rPr>
        <w:t>j</w:t>
      </w:r>
      <w:r w:rsidR="003D1070">
        <w:rPr>
          <w:sz w:val="24"/>
        </w:rPr>
        <w:t>. The physical constants that enter in the air-kerma determinations are fully correlated (</w:t>
      </w:r>
      <w:r w:rsidR="00732026" w:rsidRPr="00732026">
        <w:rPr>
          <w:i/>
          <w:sz w:val="24"/>
        </w:rPr>
        <w:t>f</w:t>
      </w:r>
      <w:r w:rsidR="00732026" w:rsidRPr="00732026">
        <w:rPr>
          <w:i/>
          <w:sz w:val="24"/>
          <w:vertAlign w:val="subscript"/>
        </w:rPr>
        <w:t>j</w:t>
      </w:r>
      <w:r w:rsidR="00732026">
        <w:rPr>
          <w:sz w:val="24"/>
        </w:rPr>
        <w:t> = 1</w:t>
      </w:r>
      <w:r w:rsidR="003D1070">
        <w:rPr>
          <w:sz w:val="24"/>
        </w:rPr>
        <w:t xml:space="preserve">); certain correction factors, for example </w:t>
      </w:r>
      <w:r w:rsidR="003D1070">
        <w:rPr>
          <w:i/>
          <w:sz w:val="24"/>
        </w:rPr>
        <w:t>k</w:t>
      </w:r>
      <w:r w:rsidR="003D1070">
        <w:rPr>
          <w:sz w:val="24"/>
          <w:vertAlign w:val="subscript"/>
        </w:rPr>
        <w:t>wall</w:t>
      </w:r>
      <w:r w:rsidR="003D1070">
        <w:rPr>
          <w:sz w:val="24"/>
        </w:rPr>
        <w:t>, might be considered partially correlated (</w:t>
      </w:r>
      <w:r w:rsidR="00732026">
        <w:rPr>
          <w:sz w:val="24"/>
        </w:rPr>
        <w:t>0 &lt; </w:t>
      </w:r>
      <w:r w:rsidR="00732026" w:rsidRPr="00732026">
        <w:rPr>
          <w:i/>
          <w:sz w:val="24"/>
        </w:rPr>
        <w:t>f</w:t>
      </w:r>
      <w:r w:rsidR="00732026" w:rsidRPr="00732026">
        <w:rPr>
          <w:i/>
          <w:sz w:val="24"/>
          <w:vertAlign w:val="subscript"/>
        </w:rPr>
        <w:t>j</w:t>
      </w:r>
      <w:r w:rsidR="00732026">
        <w:rPr>
          <w:sz w:val="24"/>
        </w:rPr>
        <w:t> &lt;1</w:t>
      </w:r>
      <w:r w:rsidR="003D1070">
        <w:rPr>
          <w:sz w:val="24"/>
        </w:rPr>
        <w:t xml:space="preserve">). When laboratory </w:t>
      </w:r>
      <w:r w:rsidR="003D1070">
        <w:rPr>
          <w:i/>
          <w:sz w:val="24"/>
        </w:rPr>
        <w:t>i</w:t>
      </w:r>
      <w:r w:rsidR="003D1070">
        <w:rPr>
          <w:sz w:val="24"/>
        </w:rPr>
        <w:t xml:space="preserve"> is traceable to the BIPM, the summation contains all of the non-statistical components of </w:t>
      </w:r>
      <w:r w:rsidR="003D1070">
        <w:rPr>
          <w:i/>
          <w:sz w:val="24"/>
        </w:rPr>
        <w:t>u</w:t>
      </w:r>
      <w:r w:rsidR="003D1070">
        <w:rPr>
          <w:sz w:val="24"/>
          <w:vertAlign w:val="subscript"/>
        </w:rPr>
        <w:t>BIPM</w:t>
      </w:r>
      <w:r w:rsidR="003D1070">
        <w:rPr>
          <w:sz w:val="24"/>
        </w:rPr>
        <w:t>, each with correlation factor</w:t>
      </w:r>
      <w:r w:rsidR="00732026">
        <w:rPr>
          <w:sz w:val="24"/>
        </w:rPr>
        <w:t xml:space="preserve"> </w:t>
      </w:r>
      <w:r w:rsidR="00732026" w:rsidRPr="00732026">
        <w:rPr>
          <w:i/>
          <w:sz w:val="24"/>
        </w:rPr>
        <w:t>f</w:t>
      </w:r>
      <w:r w:rsidR="00732026" w:rsidRPr="00732026">
        <w:rPr>
          <w:i/>
          <w:sz w:val="24"/>
          <w:vertAlign w:val="subscript"/>
        </w:rPr>
        <w:t>j</w:t>
      </w:r>
      <w:r w:rsidR="00732026">
        <w:rPr>
          <w:sz w:val="24"/>
        </w:rPr>
        <w:t> = 1</w:t>
      </w:r>
      <w:r w:rsidR="003D1070">
        <w:rPr>
          <w:sz w:val="24"/>
        </w:rPr>
        <w:t>. The</w:t>
      </w:r>
      <w:r w:rsidR="00BF4325">
        <w:rPr>
          <w:sz w:val="24"/>
        </w:rPr>
        <w:t xml:space="preserve"> </w:t>
      </w:r>
      <w:r w:rsidR="003D1070">
        <w:rPr>
          <w:sz w:val="24"/>
        </w:rPr>
        <w:t xml:space="preserve">case of </w:t>
      </w:r>
      <w:r w:rsidR="002F5715">
        <w:rPr>
          <w:sz w:val="24"/>
        </w:rPr>
        <w:t xml:space="preserve">a </w:t>
      </w:r>
      <w:r w:rsidR="003D1070">
        <w:rPr>
          <w:sz w:val="24"/>
        </w:rPr>
        <w:t xml:space="preserve">laboratory </w:t>
      </w:r>
      <w:proofErr w:type="spellStart"/>
      <w:r w:rsidR="003D1070" w:rsidRPr="00ED2703">
        <w:rPr>
          <w:i/>
          <w:sz w:val="24"/>
        </w:rPr>
        <w:t>i</w:t>
      </w:r>
      <w:proofErr w:type="spellEnd"/>
      <w:r w:rsidR="003D1070">
        <w:rPr>
          <w:sz w:val="24"/>
        </w:rPr>
        <w:t xml:space="preserve"> traceable t</w:t>
      </w:r>
      <w:r w:rsidR="005A1521">
        <w:rPr>
          <w:sz w:val="24"/>
        </w:rPr>
        <w:t>o the LINK</w:t>
      </w:r>
      <w:r w:rsidR="003D1070">
        <w:rPr>
          <w:sz w:val="24"/>
        </w:rPr>
        <w:t xml:space="preserve"> </w:t>
      </w:r>
      <w:r w:rsidR="00BF4325">
        <w:rPr>
          <w:sz w:val="24"/>
        </w:rPr>
        <w:t xml:space="preserve">might be noted; the LINK </w:t>
      </w:r>
      <w:r w:rsidR="0007120E">
        <w:rPr>
          <w:sz w:val="24"/>
        </w:rPr>
        <w:t xml:space="preserve">Type B </w:t>
      </w:r>
      <w:r w:rsidR="00BF4325">
        <w:rPr>
          <w:sz w:val="24"/>
        </w:rPr>
        <w:t xml:space="preserve">uncertainties will then enter three times in equation (5). As always, they will cancel for </w:t>
      </w:r>
      <w:r w:rsidR="00BF4325" w:rsidRPr="00BF4325">
        <w:rPr>
          <w:i/>
          <w:sz w:val="24"/>
        </w:rPr>
        <w:t>N</w:t>
      </w:r>
      <w:r w:rsidR="00391CAA" w:rsidRPr="00391CAA">
        <w:rPr>
          <w:i/>
          <w:sz w:val="24"/>
          <w:vertAlign w:val="subscript"/>
        </w:rPr>
        <w:t>K</w:t>
      </w:r>
      <w:proofErr w:type="gramStart"/>
      <w:r w:rsidR="00391CAA" w:rsidRPr="00391CAA">
        <w:rPr>
          <w:sz w:val="24"/>
          <w:vertAlign w:val="subscript"/>
        </w:rPr>
        <w:t>,</w:t>
      </w:r>
      <w:r w:rsidR="00BF4325" w:rsidRPr="00BF4325">
        <w:rPr>
          <w:sz w:val="24"/>
          <w:vertAlign w:val="subscript"/>
        </w:rPr>
        <w:t>LINK</w:t>
      </w:r>
      <w:proofErr w:type="gramEnd"/>
      <w:r w:rsidR="00BF4325">
        <w:rPr>
          <w:sz w:val="24"/>
        </w:rPr>
        <w:t xml:space="preserve"> and </w:t>
      </w:r>
      <w:r w:rsidR="00BF4325" w:rsidRPr="00BF4325">
        <w:rPr>
          <w:i/>
          <w:sz w:val="24"/>
        </w:rPr>
        <w:t>R</w:t>
      </w:r>
      <w:r w:rsidR="00BF4325" w:rsidRPr="00BF4325">
        <w:rPr>
          <w:sz w:val="24"/>
          <w:vertAlign w:val="subscript"/>
        </w:rPr>
        <w:t>LINK,BIPM</w:t>
      </w:r>
      <w:r w:rsidR="00BF4325">
        <w:rPr>
          <w:sz w:val="24"/>
        </w:rPr>
        <w:t xml:space="preserve">, which means that they will remain for </w:t>
      </w:r>
      <w:proofErr w:type="spellStart"/>
      <w:r w:rsidR="00BF4325" w:rsidRPr="00BF4325">
        <w:rPr>
          <w:i/>
          <w:sz w:val="24"/>
        </w:rPr>
        <w:t>N</w:t>
      </w:r>
      <w:r w:rsidR="00BF4325" w:rsidRPr="00BF4325">
        <w:rPr>
          <w:i/>
          <w:sz w:val="24"/>
          <w:vertAlign w:val="subscript"/>
        </w:rPr>
        <w:t>K</w:t>
      </w:r>
      <w:r w:rsidR="00BF4325" w:rsidRPr="00BF4325">
        <w:rPr>
          <w:sz w:val="24"/>
          <w:vertAlign w:val="subscript"/>
        </w:rPr>
        <w:t>,</w:t>
      </w:r>
      <w:r w:rsidR="00BF4325" w:rsidRPr="00BF4325">
        <w:rPr>
          <w:i/>
          <w:sz w:val="24"/>
          <w:vertAlign w:val="subscript"/>
        </w:rPr>
        <w:t>i</w:t>
      </w:r>
      <w:proofErr w:type="spellEnd"/>
      <w:r w:rsidR="00BF4325">
        <w:rPr>
          <w:sz w:val="24"/>
        </w:rPr>
        <w:t xml:space="preserve"> so that in the end this case is no different</w:t>
      </w:r>
      <w:r w:rsidR="003D1070">
        <w:rPr>
          <w:sz w:val="24"/>
        </w:rPr>
        <w:t>.</w:t>
      </w:r>
    </w:p>
    <w:p w:rsidR="003D1070" w:rsidRDefault="003D1070" w:rsidP="003D1070">
      <w:pPr>
        <w:spacing w:before="120" w:line="300" w:lineRule="exact"/>
        <w:rPr>
          <w:sz w:val="24"/>
        </w:rPr>
      </w:pPr>
      <w:r>
        <w:rPr>
          <w:sz w:val="24"/>
        </w:rPr>
        <w:t xml:space="preserve">For a comparison of absorbed dose to water standards the equations are the same, but the correlated components </w:t>
      </w:r>
      <w:r w:rsidR="00732026">
        <w:rPr>
          <w:i/>
          <w:sz w:val="24"/>
        </w:rPr>
        <w:t>j</w:t>
      </w:r>
      <w:r>
        <w:rPr>
          <w:sz w:val="24"/>
        </w:rPr>
        <w:t xml:space="preserve"> and the correlation factors</w:t>
      </w:r>
      <w:r w:rsidR="00732026">
        <w:rPr>
          <w:sz w:val="24"/>
        </w:rPr>
        <w:t xml:space="preserve"> </w:t>
      </w:r>
      <w:r w:rsidR="00732026" w:rsidRPr="00732026">
        <w:rPr>
          <w:i/>
          <w:sz w:val="24"/>
        </w:rPr>
        <w:t>f</w:t>
      </w:r>
      <w:r w:rsidR="00732026" w:rsidRPr="00732026">
        <w:rPr>
          <w:i/>
          <w:sz w:val="24"/>
          <w:vertAlign w:val="subscript"/>
        </w:rPr>
        <w:t>j</w:t>
      </w:r>
      <w:r w:rsidR="00732026">
        <w:rPr>
          <w:sz w:val="24"/>
        </w:rPr>
        <w:t xml:space="preserve"> </w:t>
      </w:r>
      <w:r>
        <w:rPr>
          <w:sz w:val="24"/>
        </w:rPr>
        <w:t>are different, depending on whether a laboratory is traceable to a graphite calorimeter, to a w</w:t>
      </w:r>
      <w:r w:rsidR="004422C2">
        <w:rPr>
          <w:sz w:val="24"/>
        </w:rPr>
        <w:t>ater calorimeter, or to an</w:t>
      </w:r>
      <w:r>
        <w:rPr>
          <w:sz w:val="24"/>
        </w:rPr>
        <w:t xml:space="preserve"> ionometric standard. An example analysis, with choices for</w:t>
      </w:r>
      <w:r w:rsidR="00732026">
        <w:rPr>
          <w:sz w:val="24"/>
        </w:rPr>
        <w:t xml:space="preserve"> </w:t>
      </w:r>
      <w:r w:rsidR="00732026" w:rsidRPr="00732026">
        <w:rPr>
          <w:i/>
          <w:sz w:val="24"/>
        </w:rPr>
        <w:t>f</w:t>
      </w:r>
      <w:r w:rsidR="00732026" w:rsidRPr="00732026">
        <w:rPr>
          <w:i/>
          <w:sz w:val="24"/>
          <w:vertAlign w:val="subscript"/>
        </w:rPr>
        <w:t>j</w:t>
      </w:r>
      <w:r w:rsidR="00732026">
        <w:rPr>
          <w:sz w:val="24"/>
        </w:rPr>
        <w:t xml:space="preserve"> </w:t>
      </w:r>
      <w:r>
        <w:rPr>
          <w:sz w:val="24"/>
        </w:rPr>
        <w:t>relating to mass-energy absorption coefficients and to the heat defect in water calorimetry, can be found in [1].</w:t>
      </w:r>
    </w:p>
    <w:p w:rsidR="003D1070" w:rsidRDefault="00ED5A74" w:rsidP="003D1070">
      <w:pPr>
        <w:pStyle w:val="Heading1"/>
        <w:spacing w:before="240" w:line="300" w:lineRule="exact"/>
        <w:rPr>
          <w:b/>
          <w:sz w:val="24"/>
          <w:u w:val="none"/>
        </w:rPr>
      </w:pPr>
      <w:r>
        <w:rPr>
          <w:b/>
          <w:sz w:val="24"/>
          <w:u w:val="none"/>
        </w:rPr>
        <w:t>2</w:t>
      </w:r>
      <w:r w:rsidR="003D1070">
        <w:rPr>
          <w:b/>
          <w:sz w:val="24"/>
          <w:u w:val="none"/>
        </w:rPr>
        <w:t xml:space="preserve">.  The uncertainties </w:t>
      </w:r>
      <w:proofErr w:type="spellStart"/>
      <w:r w:rsidR="003D1070" w:rsidRPr="003D1070">
        <w:rPr>
          <w:b/>
          <w:i/>
          <w:sz w:val="24"/>
          <w:u w:val="none"/>
        </w:rPr>
        <w:t>u</w:t>
      </w:r>
      <w:r w:rsidR="00CA49B5">
        <w:rPr>
          <w:b/>
          <w:sz w:val="24"/>
          <w:u w:val="none"/>
          <w:vertAlign w:val="subscript"/>
        </w:rPr>
        <w:t>tr</w:t>
      </w:r>
      <w:proofErr w:type="spellEnd"/>
      <w:r w:rsidR="003D1070">
        <w:rPr>
          <w:b/>
          <w:sz w:val="24"/>
          <w:u w:val="none"/>
        </w:rPr>
        <w:t xml:space="preserve"> and </w:t>
      </w:r>
      <w:proofErr w:type="spellStart"/>
      <w:r w:rsidR="003D1070" w:rsidRPr="003D1070">
        <w:rPr>
          <w:b/>
          <w:i/>
          <w:sz w:val="24"/>
          <w:u w:val="none"/>
        </w:rPr>
        <w:t>u</w:t>
      </w:r>
      <w:r w:rsidR="003D1070" w:rsidRPr="003D1070">
        <w:rPr>
          <w:b/>
          <w:sz w:val="24"/>
          <w:u w:val="none"/>
          <w:vertAlign w:val="subscript"/>
        </w:rPr>
        <w:t>LINK</w:t>
      </w:r>
      <w:proofErr w:type="spellEnd"/>
    </w:p>
    <w:p w:rsidR="00CA49B5" w:rsidRDefault="001E0A50" w:rsidP="00ED5A74">
      <w:pPr>
        <w:spacing w:before="120" w:line="300" w:lineRule="exact"/>
        <w:rPr>
          <w:sz w:val="24"/>
        </w:rPr>
      </w:pPr>
      <w:r>
        <w:rPr>
          <w:sz w:val="24"/>
        </w:rPr>
        <w:t xml:space="preserve">The uncertainty </w:t>
      </w:r>
      <w:proofErr w:type="spellStart"/>
      <w:r w:rsidRPr="00CA49B5">
        <w:rPr>
          <w:i/>
          <w:sz w:val="24"/>
        </w:rPr>
        <w:t>u</w:t>
      </w:r>
      <w:r w:rsidRPr="00CA49B5">
        <w:rPr>
          <w:i/>
          <w:sz w:val="24"/>
          <w:vertAlign w:val="subscript"/>
        </w:rPr>
        <w:t>i</w:t>
      </w:r>
      <w:proofErr w:type="spellEnd"/>
      <w:r>
        <w:rPr>
          <w:sz w:val="24"/>
        </w:rPr>
        <w:t xml:space="preserve"> for a given laboratory </w:t>
      </w:r>
      <w:proofErr w:type="spellStart"/>
      <w:r w:rsidR="00CA49B5" w:rsidRPr="00CA49B5">
        <w:rPr>
          <w:i/>
          <w:sz w:val="24"/>
        </w:rPr>
        <w:t>i</w:t>
      </w:r>
      <w:proofErr w:type="spellEnd"/>
      <w:r>
        <w:rPr>
          <w:sz w:val="24"/>
        </w:rPr>
        <w:t xml:space="preserve"> will normally </w:t>
      </w:r>
      <w:r w:rsidR="004422C2">
        <w:rPr>
          <w:sz w:val="24"/>
        </w:rPr>
        <w:t xml:space="preserve">already </w:t>
      </w:r>
      <w:r>
        <w:rPr>
          <w:sz w:val="24"/>
        </w:rPr>
        <w:t xml:space="preserve">include statistical components </w:t>
      </w:r>
      <w:r w:rsidR="00D41C4E">
        <w:rPr>
          <w:sz w:val="24"/>
        </w:rPr>
        <w:t>consistent with</w:t>
      </w:r>
      <w:r>
        <w:rPr>
          <w:sz w:val="24"/>
        </w:rPr>
        <w:t xml:space="preserve"> the repeatability of transfer chamber calibrations, assuming </w:t>
      </w:r>
      <w:r w:rsidR="0068389E">
        <w:rPr>
          <w:sz w:val="24"/>
        </w:rPr>
        <w:t>a</w:t>
      </w:r>
      <w:r>
        <w:rPr>
          <w:sz w:val="24"/>
        </w:rPr>
        <w:t xml:space="preserve"> ‘well-behaved’</w:t>
      </w:r>
      <w:r w:rsidR="0068389E">
        <w:rPr>
          <w:sz w:val="24"/>
        </w:rPr>
        <w:t xml:space="preserve"> transfer chamber.</w:t>
      </w:r>
      <w:r w:rsidR="00CA49B5">
        <w:rPr>
          <w:sz w:val="24"/>
        </w:rPr>
        <w:t xml:space="preserve"> Under these conditions, the </w:t>
      </w:r>
      <w:r w:rsidR="004422C2">
        <w:rPr>
          <w:sz w:val="24"/>
        </w:rPr>
        <w:t xml:space="preserve">additional </w:t>
      </w:r>
      <w:r w:rsidR="00CA49B5">
        <w:rPr>
          <w:sz w:val="24"/>
        </w:rPr>
        <w:t xml:space="preserve">component </w:t>
      </w:r>
      <w:proofErr w:type="spellStart"/>
      <w:r w:rsidR="00CA49B5" w:rsidRPr="00D41C4E">
        <w:rPr>
          <w:i/>
          <w:sz w:val="24"/>
        </w:rPr>
        <w:t>u</w:t>
      </w:r>
      <w:r w:rsidR="00CA49B5" w:rsidRPr="00D41C4E">
        <w:rPr>
          <w:sz w:val="24"/>
          <w:vertAlign w:val="subscript"/>
        </w:rPr>
        <w:t>tr</w:t>
      </w:r>
      <w:proofErr w:type="spellEnd"/>
      <w:r w:rsidR="00CA49B5">
        <w:rPr>
          <w:sz w:val="24"/>
        </w:rPr>
        <w:t xml:space="preserve"> </w:t>
      </w:r>
      <w:r w:rsidR="0068389E">
        <w:rPr>
          <w:sz w:val="24"/>
        </w:rPr>
        <w:t>in equation (2) is not required</w:t>
      </w:r>
      <w:r w:rsidR="00CA49B5">
        <w:rPr>
          <w:sz w:val="24"/>
        </w:rPr>
        <w:t>.</w:t>
      </w:r>
    </w:p>
    <w:p w:rsidR="00ED5A74" w:rsidRDefault="00AA7B70" w:rsidP="00ED5A74">
      <w:pPr>
        <w:spacing w:before="120" w:line="300" w:lineRule="exact"/>
        <w:rPr>
          <w:sz w:val="24"/>
        </w:rPr>
      </w:pPr>
      <w:r>
        <w:rPr>
          <w:sz w:val="24"/>
        </w:rPr>
        <w:t>The behaviour of the transfer chamber should be characterized by t</w:t>
      </w:r>
      <w:r w:rsidR="00CA49B5">
        <w:rPr>
          <w:sz w:val="24"/>
        </w:rPr>
        <w:t>he pilot laboratory through the ‘adjusted’ standard deviation of its</w:t>
      </w:r>
      <w:r w:rsidR="00732026">
        <w:rPr>
          <w:sz w:val="24"/>
        </w:rPr>
        <w:t xml:space="preserve"> </w:t>
      </w:r>
      <w:r w:rsidR="00EC340C" w:rsidRPr="00EC340C">
        <w:rPr>
          <w:i/>
          <w:sz w:val="24"/>
        </w:rPr>
        <w:t>m</w:t>
      </w:r>
      <w:r w:rsidR="00EC340C">
        <w:rPr>
          <w:sz w:val="24"/>
        </w:rPr>
        <w:t xml:space="preserve"> </w:t>
      </w:r>
      <w:r w:rsidR="00CA49B5">
        <w:rPr>
          <w:sz w:val="24"/>
        </w:rPr>
        <w:t>repeat calibrations</w:t>
      </w:r>
      <w:r w:rsidR="006B6D06">
        <w:rPr>
          <w:sz w:val="24"/>
        </w:rPr>
        <w:t xml:space="preserve"> </w:t>
      </w:r>
      <w:proofErr w:type="spellStart"/>
      <w:r w:rsidR="006B6D06" w:rsidRPr="006B6D06">
        <w:rPr>
          <w:i/>
          <w:sz w:val="24"/>
        </w:rPr>
        <w:t>N</w:t>
      </w:r>
      <w:r w:rsidR="006B6D06" w:rsidRPr="006B6D06">
        <w:rPr>
          <w:i/>
          <w:sz w:val="24"/>
          <w:vertAlign w:val="subscript"/>
        </w:rPr>
        <w:t>K</w:t>
      </w:r>
      <w:proofErr w:type="gramStart"/>
      <w:r w:rsidR="006B6D06" w:rsidRPr="006B6D06">
        <w:rPr>
          <w:sz w:val="24"/>
          <w:vertAlign w:val="subscript"/>
        </w:rPr>
        <w:t>,pilot,</w:t>
      </w:r>
      <w:r w:rsidR="006B6D06" w:rsidRPr="006B6D06">
        <w:rPr>
          <w:i/>
          <w:sz w:val="24"/>
          <w:vertAlign w:val="subscript"/>
        </w:rPr>
        <w:t>j</w:t>
      </w:r>
      <w:proofErr w:type="spellEnd"/>
      <w:proofErr w:type="gramEnd"/>
      <w:r w:rsidR="006B6D06">
        <w:rPr>
          <w:sz w:val="24"/>
        </w:rPr>
        <w:t xml:space="preserve"> </w:t>
      </w:r>
      <w:r w:rsidR="006B6D06" w:rsidRPr="006B6D06">
        <w:rPr>
          <w:sz w:val="24"/>
        </w:rPr>
        <w:t>(</w:t>
      </w:r>
      <w:r w:rsidR="006B6D06" w:rsidRPr="00732026">
        <w:rPr>
          <w:i/>
          <w:sz w:val="24"/>
        </w:rPr>
        <w:t>j</w:t>
      </w:r>
      <w:r w:rsidR="006B6D06">
        <w:rPr>
          <w:sz w:val="24"/>
        </w:rPr>
        <w:t xml:space="preserve"> = 1 to </w:t>
      </w:r>
      <w:r w:rsidR="006B6D06" w:rsidRPr="00EC340C">
        <w:rPr>
          <w:i/>
          <w:sz w:val="24"/>
        </w:rPr>
        <w:t>m</w:t>
      </w:r>
      <w:r w:rsidR="006B6D06" w:rsidRPr="006B6D06">
        <w:rPr>
          <w:sz w:val="24"/>
        </w:rPr>
        <w:t>)</w:t>
      </w:r>
      <w:r w:rsidR="00ED5A74">
        <w:rPr>
          <w:sz w:val="24"/>
        </w:rPr>
        <w:t>;</w:t>
      </w:r>
    </w:p>
    <w:p w:rsidR="00ED5A74" w:rsidRDefault="00A26EB2" w:rsidP="00ED5A74">
      <w:pPr>
        <w:spacing w:before="400" w:line="300" w:lineRule="exact"/>
        <w:ind w:left="7082" w:firstLine="709"/>
        <w:rPr>
          <w:sz w:val="24"/>
        </w:rPr>
      </w:pPr>
      <w:r>
        <w:rPr>
          <w:noProof/>
          <w:sz w:val="24"/>
          <w:lang w:val="fr-FR"/>
        </w:rPr>
        <w:pict>
          <v:shape id="_x0000_s1049" type="#_x0000_t75" style="position:absolute;left:0;text-align:left;margin-left:31.85pt;margin-top:6.3pt;width:139pt;height:44.2pt;z-index:-251643904;mso-position-horizontal-relative:text;mso-position-vertical-relative:text" fillcolor="window">
            <v:imagedata r:id="rId13" o:title=""/>
          </v:shape>
          <o:OLEObject Type="Embed" ProgID="Equation.3" ShapeID="_x0000_s1049" DrawAspect="Content" ObjectID="_1559046977" r:id="rId14"/>
        </w:pict>
      </w:r>
      <w:r w:rsidR="00ED5A74">
        <w:rPr>
          <w:sz w:val="24"/>
        </w:rPr>
        <w:t>(3)</w:t>
      </w:r>
    </w:p>
    <w:p w:rsidR="002B39F1" w:rsidRDefault="006B6D06" w:rsidP="00ED5A74">
      <w:pPr>
        <w:spacing w:before="400" w:line="300" w:lineRule="exact"/>
        <w:rPr>
          <w:sz w:val="24"/>
        </w:rPr>
      </w:pPr>
      <w:proofErr w:type="gramStart"/>
      <w:r>
        <w:rPr>
          <w:sz w:val="24"/>
        </w:rPr>
        <w:t>where</w:t>
      </w:r>
      <w:proofErr w:type="gramEnd"/>
      <w:r>
        <w:rPr>
          <w:sz w:val="24"/>
        </w:rPr>
        <w:t xml:space="preserve"> </w:t>
      </w:r>
      <w:proofErr w:type="spellStart"/>
      <w:r w:rsidR="00ED5A74" w:rsidRPr="00ED5A74">
        <w:rPr>
          <w:i/>
          <w:sz w:val="24"/>
        </w:rPr>
        <w:t>N</w:t>
      </w:r>
      <w:r w:rsidR="00ED5A74" w:rsidRPr="00ED5A74">
        <w:rPr>
          <w:i/>
          <w:sz w:val="24"/>
          <w:vertAlign w:val="subscript"/>
        </w:rPr>
        <w:t>K</w:t>
      </w:r>
      <w:r w:rsidR="00996825">
        <w:rPr>
          <w:sz w:val="24"/>
          <w:vertAlign w:val="subscript"/>
        </w:rPr>
        <w:t>,</w:t>
      </w:r>
      <w:r w:rsidR="00CA49B5">
        <w:rPr>
          <w:sz w:val="24"/>
          <w:vertAlign w:val="subscript"/>
        </w:rPr>
        <w:t>pilot</w:t>
      </w:r>
      <w:proofErr w:type="spellEnd"/>
      <w:r w:rsidR="00ED5A74">
        <w:rPr>
          <w:sz w:val="24"/>
        </w:rPr>
        <w:t xml:space="preserve"> is the mea</w:t>
      </w:r>
      <w:r w:rsidR="00783EDB">
        <w:rPr>
          <w:sz w:val="24"/>
        </w:rPr>
        <w:t xml:space="preserve">n of the </w:t>
      </w:r>
      <w:proofErr w:type="spellStart"/>
      <w:r w:rsidR="00783EDB" w:rsidRPr="00783EDB">
        <w:rPr>
          <w:i/>
          <w:sz w:val="24"/>
        </w:rPr>
        <w:t>N</w:t>
      </w:r>
      <w:r w:rsidR="00783EDB" w:rsidRPr="00783EDB">
        <w:rPr>
          <w:i/>
          <w:sz w:val="24"/>
          <w:vertAlign w:val="subscript"/>
        </w:rPr>
        <w:t>K</w:t>
      </w:r>
      <w:r w:rsidR="00783EDB" w:rsidRPr="00783EDB">
        <w:rPr>
          <w:sz w:val="24"/>
          <w:vertAlign w:val="subscript"/>
        </w:rPr>
        <w:t>,pilot,</w:t>
      </w:r>
      <w:r w:rsidR="00783EDB" w:rsidRPr="00783EDB">
        <w:rPr>
          <w:i/>
          <w:sz w:val="24"/>
          <w:vertAlign w:val="subscript"/>
        </w:rPr>
        <w:t>j</w:t>
      </w:r>
      <w:proofErr w:type="spellEnd"/>
      <w:r w:rsidR="00CA49B5">
        <w:rPr>
          <w:rStyle w:val="FootnoteReference"/>
          <w:sz w:val="24"/>
        </w:rPr>
        <w:footnoteReference w:id="4"/>
      </w:r>
      <w:r w:rsidR="00ED5A74">
        <w:rPr>
          <w:sz w:val="24"/>
        </w:rPr>
        <w:t>.</w:t>
      </w:r>
      <w:r w:rsidR="00CA49B5">
        <w:rPr>
          <w:sz w:val="24"/>
        </w:rPr>
        <w:t xml:space="preserve"> If there is reason to believe that the transfer chamber is not ‘well-behaved’ (</w:t>
      </w:r>
      <w:r w:rsidR="0018073C">
        <w:rPr>
          <w:sz w:val="24"/>
        </w:rPr>
        <w:t>notably, i</w:t>
      </w:r>
      <w:r w:rsidR="0018073C" w:rsidRPr="00F24D2D">
        <w:rPr>
          <w:sz w:val="24"/>
        </w:rPr>
        <w:t>f</w:t>
      </w:r>
      <w:r w:rsidR="00CA49B5" w:rsidRPr="00F24D2D">
        <w:rPr>
          <w:sz w:val="24"/>
        </w:rPr>
        <w:t xml:space="preserve"> </w:t>
      </w:r>
      <w:r w:rsidR="00F24D2D" w:rsidRPr="00F24D2D">
        <w:rPr>
          <w:sz w:val="24"/>
        </w:rPr>
        <w:t>e</w:t>
      </w:r>
      <w:r w:rsidR="00F24D2D">
        <w:rPr>
          <w:sz w:val="24"/>
        </w:rPr>
        <w:t>quation (3) yields a value</w:t>
      </w:r>
      <w:r w:rsidR="00F24D2D" w:rsidRPr="00F24D2D">
        <w:rPr>
          <w:sz w:val="24"/>
        </w:rPr>
        <w:t xml:space="preserve"> that is </w:t>
      </w:r>
      <w:r w:rsidR="00CA49B5">
        <w:rPr>
          <w:sz w:val="24"/>
        </w:rPr>
        <w:t>greate</w:t>
      </w:r>
      <w:r w:rsidR="0018073C">
        <w:rPr>
          <w:sz w:val="24"/>
        </w:rPr>
        <w:t xml:space="preserve">r than </w:t>
      </w:r>
      <w:r w:rsidR="00D41C4E">
        <w:rPr>
          <w:sz w:val="24"/>
        </w:rPr>
        <w:t xml:space="preserve">the normal repeatability </w:t>
      </w:r>
      <w:r w:rsidR="0018073C">
        <w:rPr>
          <w:sz w:val="24"/>
        </w:rPr>
        <w:t>at the pilot laboratory</w:t>
      </w:r>
      <w:r w:rsidR="00CA49B5">
        <w:rPr>
          <w:sz w:val="24"/>
        </w:rPr>
        <w:t>)</w:t>
      </w:r>
      <w:r w:rsidR="0018073C">
        <w:rPr>
          <w:sz w:val="24"/>
        </w:rPr>
        <w:t xml:space="preserve"> then</w:t>
      </w:r>
      <w:r w:rsidR="00732026">
        <w:rPr>
          <w:sz w:val="24"/>
        </w:rPr>
        <w:t xml:space="preserve"> the value of</w:t>
      </w:r>
      <w:r w:rsidR="00D41C4E">
        <w:rPr>
          <w:sz w:val="24"/>
        </w:rPr>
        <w:t xml:space="preserve"> </w:t>
      </w:r>
      <w:proofErr w:type="spellStart"/>
      <w:r w:rsidR="00D41C4E" w:rsidRPr="00F24D2D">
        <w:rPr>
          <w:i/>
          <w:sz w:val="24"/>
        </w:rPr>
        <w:t>u</w:t>
      </w:r>
      <w:r w:rsidR="00D41C4E" w:rsidRPr="00F24D2D">
        <w:rPr>
          <w:sz w:val="24"/>
          <w:vertAlign w:val="subscript"/>
        </w:rPr>
        <w:t>tr</w:t>
      </w:r>
      <w:proofErr w:type="spellEnd"/>
      <w:r w:rsidR="00D41C4E">
        <w:rPr>
          <w:sz w:val="24"/>
        </w:rPr>
        <w:t xml:space="preserve"> </w:t>
      </w:r>
      <w:r w:rsidR="00732026">
        <w:rPr>
          <w:sz w:val="24"/>
        </w:rPr>
        <w:t xml:space="preserve">from equation (3) </w:t>
      </w:r>
      <w:r w:rsidR="00D41C4E">
        <w:rPr>
          <w:sz w:val="24"/>
        </w:rPr>
        <w:t>should be included in equation (2). Furthermore, i</w:t>
      </w:r>
      <w:r w:rsidR="00780577">
        <w:rPr>
          <w:sz w:val="24"/>
        </w:rPr>
        <w:t xml:space="preserve">f the pilot laboratory measurements indicate a statistically-significant jump or drift in the response of the transfer chamber, then the ratios </w:t>
      </w:r>
      <w:proofErr w:type="spellStart"/>
      <w:r w:rsidR="00780577" w:rsidRPr="00780577">
        <w:rPr>
          <w:i/>
          <w:sz w:val="24"/>
        </w:rPr>
        <w:t>N</w:t>
      </w:r>
      <w:r w:rsidR="00780577" w:rsidRPr="00780577">
        <w:rPr>
          <w:i/>
          <w:sz w:val="24"/>
          <w:vertAlign w:val="subscript"/>
        </w:rPr>
        <w:t>K</w:t>
      </w:r>
      <w:r w:rsidR="00780577" w:rsidRPr="00780577">
        <w:rPr>
          <w:sz w:val="24"/>
          <w:vertAlign w:val="subscript"/>
        </w:rPr>
        <w:t>,</w:t>
      </w:r>
      <w:r w:rsidR="00780577" w:rsidRPr="00780577">
        <w:rPr>
          <w:i/>
          <w:sz w:val="24"/>
          <w:vertAlign w:val="subscript"/>
        </w:rPr>
        <w:t>i</w:t>
      </w:r>
      <w:proofErr w:type="spellEnd"/>
      <w:r w:rsidR="00780577">
        <w:rPr>
          <w:sz w:val="24"/>
        </w:rPr>
        <w:t> / </w:t>
      </w:r>
      <w:r w:rsidR="00780577" w:rsidRPr="00780577">
        <w:rPr>
          <w:i/>
          <w:sz w:val="24"/>
        </w:rPr>
        <w:t>N</w:t>
      </w:r>
      <w:r w:rsidR="00780577" w:rsidRPr="00780577">
        <w:rPr>
          <w:i/>
          <w:sz w:val="24"/>
          <w:vertAlign w:val="subscript"/>
        </w:rPr>
        <w:t>K</w:t>
      </w:r>
      <w:r w:rsidR="00780577" w:rsidRPr="00780577">
        <w:rPr>
          <w:sz w:val="24"/>
          <w:vertAlign w:val="subscript"/>
        </w:rPr>
        <w:t>,LINK</w:t>
      </w:r>
      <w:r w:rsidR="00780577">
        <w:rPr>
          <w:sz w:val="24"/>
        </w:rPr>
        <w:t xml:space="preserve"> entering in equation (1) must be corrected for this </w:t>
      </w:r>
      <w:r w:rsidR="00732026">
        <w:rPr>
          <w:sz w:val="24"/>
        </w:rPr>
        <w:t>effect by a case-specific analysis</w:t>
      </w:r>
      <w:r w:rsidR="00780577">
        <w:rPr>
          <w:sz w:val="24"/>
        </w:rPr>
        <w:t xml:space="preserve"> (or th</w:t>
      </w:r>
      <w:r w:rsidR="00AA7B70">
        <w:rPr>
          <w:sz w:val="24"/>
        </w:rPr>
        <w:t>e</w:t>
      </w:r>
      <w:r w:rsidR="00780577">
        <w:rPr>
          <w:sz w:val="24"/>
        </w:rPr>
        <w:t xml:space="preserve"> transfer chamber rejected if others have been used).</w:t>
      </w:r>
    </w:p>
    <w:p w:rsidR="0007120E" w:rsidRDefault="00A3085F">
      <w:pPr>
        <w:spacing w:before="120" w:line="300" w:lineRule="exact"/>
        <w:rPr>
          <w:sz w:val="24"/>
        </w:rPr>
      </w:pPr>
      <w:r>
        <w:rPr>
          <w:sz w:val="24"/>
        </w:rPr>
        <w:t>Regarding</w:t>
      </w:r>
      <w:r w:rsidR="00693802">
        <w:rPr>
          <w:sz w:val="24"/>
        </w:rPr>
        <w:t xml:space="preserve"> </w:t>
      </w:r>
      <w:proofErr w:type="spellStart"/>
      <w:r w:rsidR="00693802" w:rsidRPr="00693802">
        <w:rPr>
          <w:i/>
          <w:sz w:val="24"/>
        </w:rPr>
        <w:t>u</w:t>
      </w:r>
      <w:r w:rsidR="00693802" w:rsidRPr="00693802">
        <w:rPr>
          <w:sz w:val="24"/>
          <w:vertAlign w:val="subscript"/>
        </w:rPr>
        <w:t>LINK</w:t>
      </w:r>
      <w:proofErr w:type="spellEnd"/>
      <w:r w:rsidR="00693802">
        <w:rPr>
          <w:sz w:val="24"/>
        </w:rPr>
        <w:t xml:space="preserve">, </w:t>
      </w:r>
      <w:r w:rsidR="00740366">
        <w:rPr>
          <w:sz w:val="24"/>
        </w:rPr>
        <w:t xml:space="preserve">as noted above the </w:t>
      </w:r>
      <w:r>
        <w:rPr>
          <w:sz w:val="24"/>
        </w:rPr>
        <w:t>nature</w:t>
      </w:r>
      <w:r w:rsidR="000C18AA">
        <w:rPr>
          <w:sz w:val="24"/>
        </w:rPr>
        <w:t xml:space="preserve"> of the linking mechanism </w:t>
      </w:r>
      <w:r w:rsidR="00740366">
        <w:rPr>
          <w:sz w:val="24"/>
        </w:rPr>
        <w:t xml:space="preserve">is such that </w:t>
      </w:r>
      <w:r w:rsidR="000C18AA">
        <w:rPr>
          <w:sz w:val="24"/>
        </w:rPr>
        <w:t>many</w:t>
      </w:r>
      <w:r>
        <w:rPr>
          <w:sz w:val="24"/>
        </w:rPr>
        <w:t xml:space="preserve"> of the non-statistical components for </w:t>
      </w:r>
      <w:r w:rsidR="005A1521">
        <w:rPr>
          <w:sz w:val="24"/>
        </w:rPr>
        <w:t xml:space="preserve">the LINK </w:t>
      </w:r>
      <w:r w:rsidR="00693802">
        <w:rPr>
          <w:sz w:val="24"/>
        </w:rPr>
        <w:t xml:space="preserve">cancel </w:t>
      </w:r>
      <w:r w:rsidR="00ED5A74">
        <w:rPr>
          <w:sz w:val="24"/>
        </w:rPr>
        <w:t>in the linking equation (1</w:t>
      </w:r>
      <w:r w:rsidR="005A1521">
        <w:rPr>
          <w:sz w:val="24"/>
        </w:rPr>
        <w:t>)</w:t>
      </w:r>
      <w:r w:rsidR="000C18AA">
        <w:rPr>
          <w:sz w:val="24"/>
        </w:rPr>
        <w:t xml:space="preserve">. However, the remaining </w:t>
      </w:r>
      <w:r w:rsidR="004A0935">
        <w:rPr>
          <w:sz w:val="24"/>
        </w:rPr>
        <w:t xml:space="preserve">non-statistical </w:t>
      </w:r>
      <w:r w:rsidR="000C18AA">
        <w:rPr>
          <w:sz w:val="24"/>
        </w:rPr>
        <w:t>componen</w:t>
      </w:r>
      <w:r w:rsidR="0007120E">
        <w:rPr>
          <w:sz w:val="24"/>
        </w:rPr>
        <w:t xml:space="preserve">ts </w:t>
      </w:r>
      <w:r w:rsidR="00ED5A74">
        <w:rPr>
          <w:sz w:val="24"/>
        </w:rPr>
        <w:t>are not always straightforward</w:t>
      </w:r>
      <w:r w:rsidR="0007120E">
        <w:rPr>
          <w:sz w:val="24"/>
        </w:rPr>
        <w:t xml:space="preserve"> to estimate.</w:t>
      </w:r>
      <w:r w:rsidR="000C18AA">
        <w:rPr>
          <w:sz w:val="24"/>
        </w:rPr>
        <w:t xml:space="preserve"> </w:t>
      </w:r>
      <w:r w:rsidR="0007120E">
        <w:rPr>
          <w:sz w:val="24"/>
        </w:rPr>
        <w:t xml:space="preserve">This is among the reasons for using more than one LINK when possible, as this allows an </w:t>
      </w:r>
      <w:r w:rsidR="00ED5A74">
        <w:rPr>
          <w:sz w:val="24"/>
        </w:rPr>
        <w:t>alternative</w:t>
      </w:r>
      <w:r w:rsidR="0007120E">
        <w:rPr>
          <w:sz w:val="24"/>
        </w:rPr>
        <w:t xml:space="preserve"> estimate of </w:t>
      </w:r>
      <w:proofErr w:type="spellStart"/>
      <w:r w:rsidR="0007120E" w:rsidRPr="000617E7">
        <w:rPr>
          <w:i/>
          <w:sz w:val="24"/>
        </w:rPr>
        <w:t>u</w:t>
      </w:r>
      <w:r w:rsidR="0007120E" w:rsidRPr="000617E7">
        <w:rPr>
          <w:sz w:val="24"/>
          <w:vertAlign w:val="subscript"/>
        </w:rPr>
        <w:t>LINK</w:t>
      </w:r>
      <w:proofErr w:type="spellEnd"/>
      <w:r w:rsidR="0007120E">
        <w:rPr>
          <w:sz w:val="24"/>
        </w:rPr>
        <w:t xml:space="preserve"> to be made from the difference between the results for different LINKs.</w:t>
      </w:r>
      <w:r w:rsidR="00740366" w:rsidRPr="00740366">
        <w:rPr>
          <w:sz w:val="24"/>
        </w:rPr>
        <w:t xml:space="preserve"> </w:t>
      </w:r>
      <w:r w:rsidR="00740366">
        <w:rPr>
          <w:sz w:val="24"/>
        </w:rPr>
        <w:t xml:space="preserve">Even so, the number of LINKs will rarely exceed two and therefore the </w:t>
      </w:r>
      <w:r w:rsidR="00ED5A74">
        <w:rPr>
          <w:sz w:val="24"/>
        </w:rPr>
        <w:t>latter</w:t>
      </w:r>
      <w:r w:rsidR="00740366">
        <w:rPr>
          <w:sz w:val="24"/>
        </w:rPr>
        <w:t xml:space="preserve"> estimate </w:t>
      </w:r>
      <w:r w:rsidR="00B25B1B">
        <w:rPr>
          <w:sz w:val="24"/>
        </w:rPr>
        <w:t>will never</w:t>
      </w:r>
      <w:r w:rsidR="00740366">
        <w:rPr>
          <w:sz w:val="24"/>
        </w:rPr>
        <w:t xml:space="preserve"> be robust.</w:t>
      </w:r>
    </w:p>
    <w:p w:rsidR="00ED5A74" w:rsidRDefault="00B25B1B">
      <w:pPr>
        <w:spacing w:before="120" w:line="300" w:lineRule="exact"/>
        <w:rPr>
          <w:sz w:val="24"/>
        </w:rPr>
      </w:pPr>
      <w:r>
        <w:rPr>
          <w:sz w:val="24"/>
        </w:rPr>
        <w:lastRenderedPageBreak/>
        <w:t xml:space="preserve">Table 1 presents </w:t>
      </w:r>
      <w:r w:rsidR="0068389E">
        <w:rPr>
          <w:sz w:val="24"/>
        </w:rPr>
        <w:t xml:space="preserve">the </w:t>
      </w:r>
      <w:r>
        <w:rPr>
          <w:sz w:val="24"/>
        </w:rPr>
        <w:t xml:space="preserve">components to be included in </w:t>
      </w:r>
      <w:proofErr w:type="spellStart"/>
      <w:r w:rsidRPr="00B25B1B">
        <w:rPr>
          <w:i/>
          <w:sz w:val="24"/>
        </w:rPr>
        <w:t>u</w:t>
      </w:r>
      <w:r w:rsidRPr="00B25B1B">
        <w:rPr>
          <w:sz w:val="24"/>
          <w:vertAlign w:val="subscript"/>
        </w:rPr>
        <w:t>LINK</w:t>
      </w:r>
      <w:proofErr w:type="spellEnd"/>
      <w:r>
        <w:rPr>
          <w:sz w:val="24"/>
        </w:rPr>
        <w:t xml:space="preserve">, depending on whether the BIPM comparison </w:t>
      </w:r>
      <w:r w:rsidR="006B6D06">
        <w:rPr>
          <w:sz w:val="24"/>
        </w:rPr>
        <w:t xml:space="preserve">with the LINK </w:t>
      </w:r>
      <w:r>
        <w:rPr>
          <w:sz w:val="24"/>
        </w:rPr>
        <w:t>was direct</w:t>
      </w:r>
      <w:r w:rsidR="00C94A15">
        <w:rPr>
          <w:sz w:val="24"/>
        </w:rPr>
        <w:t xml:space="preserve"> (</w:t>
      </w:r>
      <w:r w:rsidR="003C09A3">
        <w:rPr>
          <w:sz w:val="24"/>
        </w:rPr>
        <w:t>both</w:t>
      </w:r>
      <w:r w:rsidR="00C94A15">
        <w:rPr>
          <w:sz w:val="24"/>
        </w:rPr>
        <w:t xml:space="preserve"> primary standards at one laboratory</w:t>
      </w:r>
      <w:r w:rsidR="00AD6B94">
        <w:rPr>
          <w:sz w:val="24"/>
        </w:rPr>
        <w:t>)</w:t>
      </w:r>
      <w:r>
        <w:rPr>
          <w:sz w:val="24"/>
        </w:rPr>
        <w:t xml:space="preserve"> or indirect</w:t>
      </w:r>
      <w:r w:rsidR="00AD6B94">
        <w:rPr>
          <w:sz w:val="24"/>
        </w:rPr>
        <w:t xml:space="preserve"> (exchange of </w:t>
      </w:r>
      <w:r w:rsidR="0018032C">
        <w:rPr>
          <w:sz w:val="24"/>
        </w:rPr>
        <w:t>transfer instruments)</w:t>
      </w:r>
      <w:r>
        <w:rPr>
          <w:sz w:val="24"/>
        </w:rPr>
        <w:t xml:space="preserve">. Note </w:t>
      </w:r>
      <w:r w:rsidR="00ED5A74">
        <w:rPr>
          <w:sz w:val="24"/>
        </w:rPr>
        <w:t xml:space="preserve">that </w:t>
      </w:r>
      <w:r>
        <w:rPr>
          <w:sz w:val="24"/>
        </w:rPr>
        <w:t xml:space="preserve">the statistical uncertainties for </w:t>
      </w:r>
      <w:r w:rsidR="00ED5A74" w:rsidRPr="00ED5A74">
        <w:rPr>
          <w:i/>
          <w:sz w:val="24"/>
        </w:rPr>
        <w:t>I</w:t>
      </w:r>
      <w:r w:rsidR="00ED5A74" w:rsidRPr="00ED5A74">
        <w:rPr>
          <w:sz w:val="24"/>
          <w:vertAlign w:val="subscript"/>
        </w:rPr>
        <w:t>LINK</w:t>
      </w:r>
      <w:r w:rsidR="00ED5A74">
        <w:rPr>
          <w:sz w:val="24"/>
        </w:rPr>
        <w:t xml:space="preserve"> </w:t>
      </w:r>
      <w:r>
        <w:rPr>
          <w:sz w:val="24"/>
        </w:rPr>
        <w:t>include chamber positioning</w:t>
      </w:r>
      <w:r w:rsidR="00ED5A74">
        <w:rPr>
          <w:sz w:val="24"/>
        </w:rPr>
        <w:t xml:space="preserve"> and any other aspect of rep</w:t>
      </w:r>
      <w:r w:rsidR="0068389E">
        <w:rPr>
          <w:sz w:val="24"/>
        </w:rPr>
        <w:t>eatability</w:t>
      </w:r>
      <w:r w:rsidR="00ED5A74">
        <w:rPr>
          <w:sz w:val="24"/>
        </w:rPr>
        <w:t xml:space="preserve"> stated by the LINK</w:t>
      </w:r>
      <w:r>
        <w:rPr>
          <w:sz w:val="24"/>
        </w:rPr>
        <w:t xml:space="preserve">. </w:t>
      </w:r>
      <w:r w:rsidR="00ED5A74">
        <w:rPr>
          <w:sz w:val="24"/>
        </w:rPr>
        <w:t>A value of 2 in the table</w:t>
      </w:r>
      <w:r w:rsidR="001761E2">
        <w:rPr>
          <w:sz w:val="24"/>
        </w:rPr>
        <w:t xml:space="preserve"> indicates that the </w:t>
      </w:r>
      <w:r w:rsidR="00ED5A74">
        <w:rPr>
          <w:sz w:val="24"/>
        </w:rPr>
        <w:t>uncertainty should be included twice because the instrument was measured in both comparisons.</w:t>
      </w:r>
    </w:p>
    <w:p w:rsidR="000C18AA" w:rsidRDefault="00B25B1B">
      <w:pPr>
        <w:spacing w:before="120" w:line="300" w:lineRule="exact"/>
        <w:rPr>
          <w:sz w:val="24"/>
        </w:rPr>
      </w:pPr>
      <w:r>
        <w:rPr>
          <w:sz w:val="24"/>
        </w:rPr>
        <w:t xml:space="preserve">Not included in the table are uncertainties that might arise if reference conditions are not maintained for the LINK measurements during the two comparisons, for example if the LINK uses different values for distance or field size in the two comparisons. These can be difficult to estimate and are best </w:t>
      </w:r>
      <w:r w:rsidR="00ED5A74">
        <w:rPr>
          <w:sz w:val="24"/>
        </w:rPr>
        <w:t>avoided by using</w:t>
      </w:r>
      <w:r>
        <w:rPr>
          <w:sz w:val="24"/>
        </w:rPr>
        <w:t xml:space="preserve"> the same conditions</w:t>
      </w:r>
      <w:r w:rsidR="00ED5A74">
        <w:rPr>
          <w:sz w:val="24"/>
        </w:rPr>
        <w:t xml:space="preserve"> in both</w:t>
      </w:r>
      <w:r>
        <w:rPr>
          <w:sz w:val="24"/>
        </w:rPr>
        <w:t>.</w:t>
      </w:r>
    </w:p>
    <w:p w:rsidR="00B25B1B" w:rsidRPr="00B25B1B" w:rsidRDefault="00B25B1B" w:rsidP="00ED5A74">
      <w:pPr>
        <w:pStyle w:val="BodyText"/>
        <w:spacing w:before="240" w:after="60"/>
        <w:ind w:left="851" w:right="1276"/>
        <w:rPr>
          <w:b/>
        </w:rPr>
      </w:pPr>
      <w:proofErr w:type="gramStart"/>
      <w:r w:rsidRPr="00B25B1B">
        <w:rPr>
          <w:b/>
        </w:rPr>
        <w:t>Table 1.</w:t>
      </w:r>
      <w:proofErr w:type="gramEnd"/>
      <w:r w:rsidRPr="00B25B1B">
        <w:rPr>
          <w:b/>
        </w:rPr>
        <w:t xml:space="preserve"> </w:t>
      </w:r>
      <w:proofErr w:type="gramStart"/>
      <w:r>
        <w:rPr>
          <w:b/>
        </w:rPr>
        <w:t>Uncertainty c</w:t>
      </w:r>
      <w:r w:rsidRPr="00B25B1B">
        <w:rPr>
          <w:b/>
        </w:rPr>
        <w:t xml:space="preserve">omponents to be included in </w:t>
      </w:r>
      <w:proofErr w:type="spellStart"/>
      <w:r w:rsidRPr="00B25B1B">
        <w:rPr>
          <w:b/>
          <w:i/>
        </w:rPr>
        <w:t>u</w:t>
      </w:r>
      <w:r w:rsidRPr="00B25B1B">
        <w:rPr>
          <w:b/>
          <w:vertAlign w:val="subscript"/>
        </w:rPr>
        <w:t>LINK</w:t>
      </w:r>
      <w:proofErr w:type="spellEnd"/>
      <w:r w:rsidRPr="00B25B1B">
        <w:rPr>
          <w:b/>
        </w:rPr>
        <w:t>.</w:t>
      </w:r>
      <w:proofErr w:type="gramEnd"/>
      <w:r w:rsidRPr="00B25B1B">
        <w:rPr>
          <w:b/>
        </w:rPr>
        <w:t xml:space="preserve"> A </w:t>
      </w:r>
      <w:r>
        <w:rPr>
          <w:b/>
        </w:rPr>
        <w:t xml:space="preserve">value of </w:t>
      </w:r>
      <w:r w:rsidRPr="00B25B1B">
        <w:rPr>
          <w:b/>
        </w:rPr>
        <w:t xml:space="preserve">2 </w:t>
      </w:r>
      <w:r w:rsidRPr="004C7784">
        <w:rPr>
          <w:b/>
        </w:rPr>
        <w:t>indicates that the component should be included twice.</w:t>
      </w:r>
    </w:p>
    <w:tbl>
      <w:tblPr>
        <w:tblStyle w:val="TableGrid"/>
        <w:tblW w:w="0" w:type="auto"/>
        <w:tblInd w:w="959" w:type="dxa"/>
        <w:tblLayout w:type="fixed"/>
        <w:tblLook w:val="04A0" w:firstRow="1" w:lastRow="0" w:firstColumn="1" w:lastColumn="0" w:noHBand="0" w:noVBand="1"/>
      </w:tblPr>
      <w:tblGrid>
        <w:gridCol w:w="1843"/>
        <w:gridCol w:w="1275"/>
        <w:gridCol w:w="1276"/>
        <w:gridCol w:w="1276"/>
        <w:gridCol w:w="1276"/>
      </w:tblGrid>
      <w:tr w:rsidR="00B25B1B" w:rsidTr="00B25B1B">
        <w:tc>
          <w:tcPr>
            <w:tcW w:w="1843" w:type="dxa"/>
            <w:vAlign w:val="center"/>
          </w:tcPr>
          <w:p w:rsidR="00B25B1B" w:rsidRDefault="00B25B1B" w:rsidP="00B25B1B">
            <w:pPr>
              <w:pStyle w:val="BodyText"/>
              <w:spacing w:before="60" w:after="60"/>
            </w:pPr>
          </w:p>
        </w:tc>
        <w:tc>
          <w:tcPr>
            <w:tcW w:w="2551" w:type="dxa"/>
            <w:gridSpan w:val="2"/>
            <w:vAlign w:val="center"/>
          </w:tcPr>
          <w:p w:rsidR="00B25B1B" w:rsidRDefault="00B25B1B" w:rsidP="00B25B1B">
            <w:pPr>
              <w:pStyle w:val="BodyText"/>
              <w:spacing w:before="60" w:after="60"/>
              <w:jc w:val="center"/>
            </w:pPr>
            <w:r>
              <w:t>Direct BIPM comparison</w:t>
            </w:r>
          </w:p>
        </w:tc>
        <w:tc>
          <w:tcPr>
            <w:tcW w:w="2552" w:type="dxa"/>
            <w:gridSpan w:val="2"/>
            <w:vAlign w:val="center"/>
          </w:tcPr>
          <w:p w:rsidR="00B25B1B" w:rsidRDefault="00B25B1B" w:rsidP="00B25B1B">
            <w:pPr>
              <w:pStyle w:val="BodyText"/>
              <w:spacing w:before="60" w:after="60"/>
              <w:jc w:val="center"/>
            </w:pPr>
            <w:r>
              <w:t>Indirect BIPM comparison</w:t>
            </w:r>
          </w:p>
        </w:tc>
      </w:tr>
      <w:tr w:rsidR="00B25B1B" w:rsidTr="00B25B1B">
        <w:tc>
          <w:tcPr>
            <w:tcW w:w="1843" w:type="dxa"/>
            <w:vAlign w:val="center"/>
          </w:tcPr>
          <w:p w:rsidR="00B25B1B" w:rsidRDefault="00DF106C" w:rsidP="00B25B1B">
            <w:pPr>
              <w:pStyle w:val="BodyText"/>
              <w:spacing w:before="60" w:after="60"/>
            </w:pPr>
            <w:r>
              <w:t>Parameter from equation (1</w:t>
            </w:r>
            <w:r w:rsidR="00B25B1B">
              <w:t>)</w:t>
            </w:r>
          </w:p>
        </w:tc>
        <w:tc>
          <w:tcPr>
            <w:tcW w:w="1275" w:type="dxa"/>
            <w:vAlign w:val="center"/>
          </w:tcPr>
          <w:p w:rsidR="00B25B1B" w:rsidRDefault="00B25B1B" w:rsidP="00B25B1B">
            <w:pPr>
              <w:pStyle w:val="BodyText"/>
              <w:spacing w:before="60" w:after="60"/>
              <w:jc w:val="center"/>
            </w:pPr>
            <w:r>
              <w:t>statistical</w:t>
            </w:r>
          </w:p>
        </w:tc>
        <w:tc>
          <w:tcPr>
            <w:tcW w:w="1276" w:type="dxa"/>
            <w:vAlign w:val="center"/>
          </w:tcPr>
          <w:p w:rsidR="00B25B1B" w:rsidRDefault="00B25B1B" w:rsidP="00B25B1B">
            <w:pPr>
              <w:pStyle w:val="BodyText"/>
              <w:spacing w:before="60" w:after="60"/>
              <w:jc w:val="center"/>
            </w:pPr>
            <w:r>
              <w:t>non-     statistical</w:t>
            </w:r>
          </w:p>
        </w:tc>
        <w:tc>
          <w:tcPr>
            <w:tcW w:w="1276" w:type="dxa"/>
            <w:vAlign w:val="center"/>
          </w:tcPr>
          <w:p w:rsidR="00B25B1B" w:rsidRDefault="00B25B1B" w:rsidP="00B25B1B">
            <w:pPr>
              <w:pStyle w:val="BodyText"/>
              <w:spacing w:before="60" w:after="60"/>
              <w:jc w:val="center"/>
            </w:pPr>
            <w:r>
              <w:t>statistical</w:t>
            </w:r>
          </w:p>
        </w:tc>
        <w:tc>
          <w:tcPr>
            <w:tcW w:w="1276" w:type="dxa"/>
            <w:vAlign w:val="center"/>
          </w:tcPr>
          <w:p w:rsidR="00B25B1B" w:rsidRDefault="00B25B1B" w:rsidP="00B25B1B">
            <w:pPr>
              <w:pStyle w:val="BodyText"/>
              <w:spacing w:before="60" w:after="60"/>
              <w:jc w:val="center"/>
            </w:pPr>
            <w:r>
              <w:t>non-     statistical</w:t>
            </w:r>
          </w:p>
        </w:tc>
      </w:tr>
      <w:tr w:rsidR="00B25B1B" w:rsidTr="00B25B1B">
        <w:tc>
          <w:tcPr>
            <w:tcW w:w="1843" w:type="dxa"/>
            <w:vAlign w:val="center"/>
          </w:tcPr>
          <w:p w:rsidR="00B25B1B" w:rsidRDefault="00B25B1B" w:rsidP="00B25B1B">
            <w:pPr>
              <w:pStyle w:val="BodyText"/>
              <w:spacing w:before="60" w:after="60"/>
            </w:pPr>
            <w:r w:rsidRPr="00B25B1B">
              <w:rPr>
                <w:i/>
              </w:rPr>
              <w:t>K</w:t>
            </w:r>
            <w:r w:rsidRPr="00B25B1B">
              <w:rPr>
                <w:vertAlign w:val="subscript"/>
              </w:rPr>
              <w:t>LINK</w:t>
            </w:r>
          </w:p>
        </w:tc>
        <w:tc>
          <w:tcPr>
            <w:tcW w:w="1275" w:type="dxa"/>
            <w:vAlign w:val="center"/>
          </w:tcPr>
          <w:p w:rsidR="00B25B1B" w:rsidRDefault="00B25B1B" w:rsidP="00B25B1B">
            <w:pPr>
              <w:pStyle w:val="BodyText"/>
              <w:spacing w:before="60" w:after="60"/>
              <w:jc w:val="center"/>
            </w:pPr>
            <w:r>
              <w:t>2</w:t>
            </w:r>
            <w:r w:rsidRPr="00B25B1B">
              <w:rPr>
                <w:vertAlign w:val="superscript"/>
              </w:rPr>
              <w:t>a</w:t>
            </w:r>
          </w:p>
        </w:tc>
        <w:tc>
          <w:tcPr>
            <w:tcW w:w="1276" w:type="dxa"/>
            <w:vAlign w:val="center"/>
          </w:tcPr>
          <w:p w:rsidR="00B25B1B" w:rsidRDefault="00B25B1B" w:rsidP="00B25B1B">
            <w:pPr>
              <w:pStyle w:val="BodyText"/>
              <w:spacing w:before="60" w:after="60"/>
              <w:jc w:val="center"/>
            </w:pPr>
            <w:r>
              <w:t>-</w:t>
            </w:r>
          </w:p>
        </w:tc>
        <w:tc>
          <w:tcPr>
            <w:tcW w:w="1276" w:type="dxa"/>
            <w:vAlign w:val="center"/>
          </w:tcPr>
          <w:p w:rsidR="00B25B1B" w:rsidRDefault="00B25B1B" w:rsidP="00B25B1B">
            <w:pPr>
              <w:pStyle w:val="BodyText"/>
              <w:spacing w:before="60" w:after="60"/>
              <w:jc w:val="center"/>
            </w:pPr>
            <w:r>
              <w:t>2</w:t>
            </w:r>
            <w:r w:rsidRPr="00B25B1B">
              <w:rPr>
                <w:vertAlign w:val="superscript"/>
              </w:rPr>
              <w:t>a</w:t>
            </w:r>
          </w:p>
        </w:tc>
        <w:tc>
          <w:tcPr>
            <w:tcW w:w="1276" w:type="dxa"/>
            <w:vAlign w:val="center"/>
          </w:tcPr>
          <w:p w:rsidR="00B25B1B" w:rsidRDefault="00B25B1B" w:rsidP="00B25B1B">
            <w:pPr>
              <w:pStyle w:val="BodyText"/>
              <w:spacing w:before="60" w:after="60"/>
              <w:jc w:val="center"/>
            </w:pPr>
            <w:r>
              <w:t>-</w:t>
            </w:r>
          </w:p>
        </w:tc>
      </w:tr>
      <w:tr w:rsidR="00B25B1B" w:rsidTr="00B25B1B">
        <w:tc>
          <w:tcPr>
            <w:tcW w:w="1843" w:type="dxa"/>
            <w:vAlign w:val="center"/>
          </w:tcPr>
          <w:p w:rsidR="00B25B1B" w:rsidRDefault="00B25B1B" w:rsidP="00B25B1B">
            <w:pPr>
              <w:pStyle w:val="BodyText"/>
              <w:spacing w:before="60" w:after="60"/>
            </w:pPr>
            <w:r w:rsidRPr="00B25B1B">
              <w:rPr>
                <w:i/>
              </w:rPr>
              <w:t>I</w:t>
            </w:r>
            <w:r w:rsidRPr="00B25B1B">
              <w:rPr>
                <w:vertAlign w:val="subscript"/>
              </w:rPr>
              <w:t>LINK</w:t>
            </w:r>
          </w:p>
        </w:tc>
        <w:tc>
          <w:tcPr>
            <w:tcW w:w="1275" w:type="dxa"/>
            <w:vAlign w:val="center"/>
          </w:tcPr>
          <w:p w:rsidR="00B25B1B" w:rsidRDefault="00B25B1B" w:rsidP="00B25B1B">
            <w:pPr>
              <w:pStyle w:val="BodyText"/>
              <w:spacing w:before="60" w:after="60"/>
              <w:jc w:val="center"/>
            </w:pPr>
            <w:r>
              <w:t>1</w:t>
            </w:r>
            <w:r w:rsidRPr="00B25B1B">
              <w:rPr>
                <w:vertAlign w:val="superscript"/>
              </w:rPr>
              <w:t>a</w:t>
            </w:r>
          </w:p>
        </w:tc>
        <w:tc>
          <w:tcPr>
            <w:tcW w:w="1276" w:type="dxa"/>
            <w:vAlign w:val="center"/>
          </w:tcPr>
          <w:p w:rsidR="00B25B1B" w:rsidRDefault="00B25B1B" w:rsidP="00B25B1B">
            <w:pPr>
              <w:pStyle w:val="BodyText"/>
              <w:spacing w:before="60" w:after="60"/>
              <w:jc w:val="center"/>
            </w:pPr>
            <w:r>
              <w:t>1</w:t>
            </w:r>
          </w:p>
        </w:tc>
        <w:tc>
          <w:tcPr>
            <w:tcW w:w="1276" w:type="dxa"/>
            <w:vAlign w:val="center"/>
          </w:tcPr>
          <w:p w:rsidR="00B25B1B" w:rsidRDefault="00B25B1B" w:rsidP="00B25B1B">
            <w:pPr>
              <w:pStyle w:val="BodyText"/>
              <w:spacing w:before="60" w:after="60"/>
              <w:jc w:val="center"/>
            </w:pPr>
            <w:r>
              <w:t>2</w:t>
            </w:r>
            <w:r w:rsidRPr="00B25B1B">
              <w:rPr>
                <w:vertAlign w:val="superscript"/>
              </w:rPr>
              <w:t>a</w:t>
            </w:r>
          </w:p>
        </w:tc>
        <w:tc>
          <w:tcPr>
            <w:tcW w:w="1276" w:type="dxa"/>
            <w:vAlign w:val="center"/>
          </w:tcPr>
          <w:p w:rsidR="00B25B1B" w:rsidRDefault="00B25B1B" w:rsidP="00B25B1B">
            <w:pPr>
              <w:pStyle w:val="BodyText"/>
              <w:spacing w:before="60" w:after="60"/>
              <w:jc w:val="center"/>
            </w:pPr>
            <w:r>
              <w:t>-</w:t>
            </w:r>
          </w:p>
        </w:tc>
      </w:tr>
      <w:tr w:rsidR="00B25B1B" w:rsidTr="00B25B1B">
        <w:tc>
          <w:tcPr>
            <w:tcW w:w="1843" w:type="dxa"/>
            <w:vAlign w:val="center"/>
          </w:tcPr>
          <w:p w:rsidR="00B25B1B" w:rsidRDefault="00B25B1B" w:rsidP="00B25B1B">
            <w:pPr>
              <w:pStyle w:val="BodyText"/>
              <w:spacing w:before="60" w:after="60"/>
            </w:pPr>
            <w:r w:rsidRPr="00B25B1B">
              <w:rPr>
                <w:i/>
              </w:rPr>
              <w:t>I</w:t>
            </w:r>
            <w:r w:rsidRPr="00B25B1B">
              <w:rPr>
                <w:vertAlign w:val="subscript"/>
              </w:rPr>
              <w:t>BIPM</w:t>
            </w:r>
          </w:p>
        </w:tc>
        <w:tc>
          <w:tcPr>
            <w:tcW w:w="1275" w:type="dxa"/>
            <w:vAlign w:val="center"/>
          </w:tcPr>
          <w:p w:rsidR="00B25B1B" w:rsidRDefault="00B25B1B" w:rsidP="00B25B1B">
            <w:pPr>
              <w:pStyle w:val="BodyText"/>
              <w:spacing w:before="60" w:after="60"/>
              <w:jc w:val="center"/>
            </w:pPr>
            <w:r>
              <w:t>-</w:t>
            </w:r>
          </w:p>
        </w:tc>
        <w:tc>
          <w:tcPr>
            <w:tcW w:w="1276" w:type="dxa"/>
            <w:vAlign w:val="center"/>
          </w:tcPr>
          <w:p w:rsidR="00B25B1B" w:rsidRDefault="00B25B1B" w:rsidP="00B25B1B">
            <w:pPr>
              <w:pStyle w:val="BodyText"/>
              <w:spacing w:before="60" w:after="60"/>
              <w:jc w:val="center"/>
            </w:pPr>
            <w:r>
              <w:t>-</w:t>
            </w:r>
          </w:p>
        </w:tc>
        <w:tc>
          <w:tcPr>
            <w:tcW w:w="1276" w:type="dxa"/>
            <w:vAlign w:val="center"/>
          </w:tcPr>
          <w:p w:rsidR="00B25B1B" w:rsidRDefault="00864317" w:rsidP="00B25B1B">
            <w:pPr>
              <w:pStyle w:val="BodyText"/>
              <w:spacing w:before="60" w:after="60"/>
              <w:jc w:val="center"/>
            </w:pPr>
            <w:r>
              <w:t>1</w:t>
            </w:r>
            <w:r w:rsidRPr="00B25B1B">
              <w:rPr>
                <w:vertAlign w:val="superscript"/>
              </w:rPr>
              <w:t>b</w:t>
            </w:r>
          </w:p>
        </w:tc>
        <w:tc>
          <w:tcPr>
            <w:tcW w:w="1276" w:type="dxa"/>
            <w:vAlign w:val="center"/>
          </w:tcPr>
          <w:p w:rsidR="00B25B1B" w:rsidRDefault="00B25B1B" w:rsidP="00B25B1B">
            <w:pPr>
              <w:pStyle w:val="BodyText"/>
              <w:spacing w:before="60" w:after="60"/>
              <w:jc w:val="center"/>
            </w:pPr>
            <w:r>
              <w:t>1</w:t>
            </w:r>
            <w:r w:rsidRPr="00B25B1B">
              <w:rPr>
                <w:vertAlign w:val="superscript"/>
              </w:rPr>
              <w:t>b</w:t>
            </w:r>
          </w:p>
        </w:tc>
      </w:tr>
    </w:tbl>
    <w:p w:rsidR="00B25B1B" w:rsidRDefault="00B25B1B" w:rsidP="00B25B1B">
      <w:pPr>
        <w:pStyle w:val="BodyText"/>
        <w:spacing w:before="60" w:line="240" w:lineRule="auto"/>
        <w:ind w:left="851" w:right="1276"/>
        <w:rPr>
          <w:sz w:val="20"/>
        </w:rPr>
      </w:pPr>
      <w:proofErr w:type="spellStart"/>
      <w:proofErr w:type="gramStart"/>
      <w:r w:rsidRPr="00B25B1B">
        <w:rPr>
          <w:szCs w:val="24"/>
          <w:vertAlign w:val="superscript"/>
        </w:rPr>
        <w:t>a</w:t>
      </w:r>
      <w:proofErr w:type="spellEnd"/>
      <w:proofErr w:type="gramEnd"/>
      <w:r w:rsidRPr="00AA7B70">
        <w:rPr>
          <w:sz w:val="20"/>
        </w:rPr>
        <w:t xml:space="preserve"> </w:t>
      </w:r>
      <w:r w:rsidRPr="00B25B1B">
        <w:rPr>
          <w:sz w:val="20"/>
        </w:rPr>
        <w:t>I</w:t>
      </w:r>
      <w:r w:rsidR="004C7784">
        <w:rPr>
          <w:sz w:val="20"/>
        </w:rPr>
        <w:t>n the unlikely event that</w:t>
      </w:r>
      <w:r w:rsidRPr="00B25B1B">
        <w:rPr>
          <w:sz w:val="20"/>
        </w:rPr>
        <w:t xml:space="preserve"> </w:t>
      </w:r>
      <w:proofErr w:type="spellStart"/>
      <w:r w:rsidRPr="00B25B1B">
        <w:rPr>
          <w:i/>
          <w:sz w:val="20"/>
        </w:rPr>
        <w:t>u</w:t>
      </w:r>
      <w:r w:rsidR="00BC7ECD">
        <w:rPr>
          <w:sz w:val="20"/>
          <w:vertAlign w:val="subscript"/>
        </w:rPr>
        <w:t>tr</w:t>
      </w:r>
      <w:proofErr w:type="spellEnd"/>
      <w:r w:rsidRPr="00B25B1B">
        <w:rPr>
          <w:sz w:val="20"/>
        </w:rPr>
        <w:t xml:space="preserve"> is derived </w:t>
      </w:r>
      <w:r w:rsidR="00BC7ECD">
        <w:rPr>
          <w:sz w:val="20"/>
        </w:rPr>
        <w:t xml:space="preserve">using equation (3) </w:t>
      </w:r>
      <w:r w:rsidR="00BC7ECD" w:rsidRPr="00BC7ECD">
        <w:rPr>
          <w:i/>
          <w:sz w:val="20"/>
        </w:rPr>
        <w:t>and</w:t>
      </w:r>
      <w:r w:rsidR="00BC7ECD">
        <w:rPr>
          <w:sz w:val="20"/>
        </w:rPr>
        <w:t xml:space="preserve"> </w:t>
      </w:r>
      <w:r w:rsidR="004C7784">
        <w:rPr>
          <w:sz w:val="20"/>
        </w:rPr>
        <w:t>the</w:t>
      </w:r>
      <w:r w:rsidR="00AA7B70">
        <w:rPr>
          <w:sz w:val="20"/>
        </w:rPr>
        <w:t xml:space="preserve"> pilot laboratory is the </w:t>
      </w:r>
      <w:r w:rsidR="004C7784">
        <w:rPr>
          <w:sz w:val="20"/>
        </w:rPr>
        <w:t>LINK</w:t>
      </w:r>
      <w:r w:rsidRPr="00B25B1B">
        <w:rPr>
          <w:sz w:val="20"/>
        </w:rPr>
        <w:t xml:space="preserve">, </w:t>
      </w:r>
      <w:r>
        <w:rPr>
          <w:sz w:val="20"/>
        </w:rPr>
        <w:t xml:space="preserve">each of these </w:t>
      </w:r>
      <w:r w:rsidR="00BC7ECD">
        <w:rPr>
          <w:sz w:val="20"/>
        </w:rPr>
        <w:t>components should be</w:t>
      </w:r>
      <w:r w:rsidRPr="00B25B1B">
        <w:rPr>
          <w:sz w:val="20"/>
        </w:rPr>
        <w:t xml:space="preserve"> reduced by 1 because they are already included in </w:t>
      </w:r>
      <w:proofErr w:type="spellStart"/>
      <w:r w:rsidRPr="00B25B1B">
        <w:rPr>
          <w:i/>
          <w:sz w:val="20"/>
        </w:rPr>
        <w:t>u</w:t>
      </w:r>
      <w:r w:rsidR="00BC7ECD">
        <w:rPr>
          <w:sz w:val="20"/>
          <w:vertAlign w:val="subscript"/>
        </w:rPr>
        <w:t>tr</w:t>
      </w:r>
      <w:proofErr w:type="spellEnd"/>
      <w:r w:rsidRPr="00B25B1B">
        <w:rPr>
          <w:sz w:val="20"/>
        </w:rPr>
        <w:t>.</w:t>
      </w:r>
    </w:p>
    <w:p w:rsidR="00B25B1B" w:rsidRPr="00B25B1B" w:rsidRDefault="00B25B1B" w:rsidP="00B25B1B">
      <w:pPr>
        <w:pStyle w:val="BodyText"/>
        <w:spacing w:before="0" w:line="240" w:lineRule="auto"/>
        <w:ind w:left="851" w:right="1276"/>
        <w:rPr>
          <w:sz w:val="20"/>
        </w:rPr>
      </w:pPr>
      <w:proofErr w:type="gramStart"/>
      <w:r w:rsidRPr="00B25B1B">
        <w:rPr>
          <w:szCs w:val="24"/>
          <w:vertAlign w:val="superscript"/>
        </w:rPr>
        <w:t>b</w:t>
      </w:r>
      <w:proofErr w:type="gramEnd"/>
      <w:r w:rsidR="00864317">
        <w:rPr>
          <w:sz w:val="20"/>
        </w:rPr>
        <w:t xml:space="preserve"> These are</w:t>
      </w:r>
      <w:r>
        <w:rPr>
          <w:sz w:val="20"/>
        </w:rPr>
        <w:t xml:space="preserve"> required because </w:t>
      </w:r>
      <w:proofErr w:type="spellStart"/>
      <w:r w:rsidRPr="00B25B1B">
        <w:rPr>
          <w:i/>
          <w:sz w:val="20"/>
        </w:rPr>
        <w:t>u</w:t>
      </w:r>
      <w:r w:rsidRPr="00B25B1B">
        <w:rPr>
          <w:sz w:val="20"/>
          <w:vertAlign w:val="subscript"/>
        </w:rPr>
        <w:t>BIPM</w:t>
      </w:r>
      <w:proofErr w:type="spellEnd"/>
      <w:r w:rsidR="00ED5A74">
        <w:rPr>
          <w:sz w:val="20"/>
        </w:rPr>
        <w:t xml:space="preserve"> in equation (2</w:t>
      </w:r>
      <w:r>
        <w:rPr>
          <w:sz w:val="20"/>
        </w:rPr>
        <w:t xml:space="preserve">) is for the air-kerma </w:t>
      </w:r>
      <w:r w:rsidR="003E5927">
        <w:rPr>
          <w:sz w:val="20"/>
        </w:rPr>
        <w:t xml:space="preserve">rate </w:t>
      </w:r>
      <w:r>
        <w:rPr>
          <w:sz w:val="20"/>
        </w:rPr>
        <w:t xml:space="preserve">determination </w:t>
      </w:r>
      <w:r w:rsidRPr="00B25B1B">
        <w:rPr>
          <w:i/>
          <w:sz w:val="20"/>
        </w:rPr>
        <w:t>K</w:t>
      </w:r>
      <w:r w:rsidRPr="00B25B1B">
        <w:rPr>
          <w:sz w:val="20"/>
          <w:vertAlign w:val="subscript"/>
        </w:rPr>
        <w:t>BIPM</w:t>
      </w:r>
      <w:r>
        <w:rPr>
          <w:sz w:val="20"/>
        </w:rPr>
        <w:t xml:space="preserve"> only. Typically, the </w:t>
      </w:r>
      <w:r w:rsidR="00864317">
        <w:rPr>
          <w:sz w:val="20"/>
        </w:rPr>
        <w:t xml:space="preserve">combined </w:t>
      </w:r>
      <w:r>
        <w:rPr>
          <w:sz w:val="20"/>
        </w:rPr>
        <w:t>value will be around 0.03 % and can be found in the relevant comparison report for the LINK.</w:t>
      </w:r>
    </w:p>
    <w:p w:rsidR="00A3085F" w:rsidRDefault="00ED5A74">
      <w:pPr>
        <w:spacing w:before="240" w:line="300" w:lineRule="exact"/>
        <w:rPr>
          <w:b/>
          <w:sz w:val="24"/>
        </w:rPr>
      </w:pPr>
      <w:r>
        <w:rPr>
          <w:b/>
          <w:sz w:val="24"/>
        </w:rPr>
        <w:t>3</w:t>
      </w:r>
      <w:r w:rsidR="002E4A8D">
        <w:rPr>
          <w:b/>
          <w:sz w:val="24"/>
        </w:rPr>
        <w:t>.   Multiple transfer chamber</w:t>
      </w:r>
      <w:r w:rsidR="00A3085F">
        <w:rPr>
          <w:b/>
          <w:sz w:val="24"/>
        </w:rPr>
        <w:t>s</w:t>
      </w:r>
    </w:p>
    <w:p w:rsidR="00EF5F16" w:rsidRDefault="00B35828">
      <w:pPr>
        <w:spacing w:before="120" w:line="300" w:lineRule="exact"/>
        <w:rPr>
          <w:sz w:val="24"/>
        </w:rPr>
      </w:pPr>
      <w:r>
        <w:rPr>
          <w:sz w:val="24"/>
        </w:rPr>
        <w:t>We consider a comparison using</w:t>
      </w:r>
      <w:r w:rsidR="006B6D06">
        <w:rPr>
          <w:sz w:val="24"/>
        </w:rPr>
        <w:t xml:space="preserve"> </w:t>
      </w:r>
      <w:r w:rsidR="00A3085F">
        <w:rPr>
          <w:i/>
          <w:sz w:val="24"/>
        </w:rPr>
        <w:t>p</w:t>
      </w:r>
      <w:r w:rsidR="002E4A8D">
        <w:rPr>
          <w:sz w:val="24"/>
        </w:rPr>
        <w:t xml:space="preserve"> transfer chamber</w:t>
      </w:r>
      <w:r w:rsidR="00A3085F">
        <w:rPr>
          <w:sz w:val="24"/>
        </w:rPr>
        <w:t>s</w:t>
      </w:r>
      <w:r w:rsidR="006B6D06">
        <w:rPr>
          <w:sz w:val="24"/>
        </w:rPr>
        <w:t xml:space="preserve"> (</w:t>
      </w:r>
      <w:r w:rsidR="006B6D06" w:rsidRPr="006B6D06">
        <w:rPr>
          <w:i/>
          <w:sz w:val="24"/>
        </w:rPr>
        <w:t>j</w:t>
      </w:r>
      <w:r w:rsidR="006B6D06">
        <w:rPr>
          <w:sz w:val="24"/>
        </w:rPr>
        <w:t xml:space="preserve"> = 1 to </w:t>
      </w:r>
      <w:r w:rsidR="006B6D06">
        <w:rPr>
          <w:i/>
          <w:sz w:val="24"/>
        </w:rPr>
        <w:t>p</w:t>
      </w:r>
      <w:r w:rsidR="006B6D06">
        <w:rPr>
          <w:sz w:val="24"/>
        </w:rPr>
        <w:t>)</w:t>
      </w:r>
      <w:r w:rsidR="00A3085F">
        <w:rPr>
          <w:sz w:val="24"/>
        </w:rPr>
        <w:t xml:space="preserve">, </w:t>
      </w:r>
      <w:r>
        <w:rPr>
          <w:sz w:val="24"/>
        </w:rPr>
        <w:t xml:space="preserve">for which </w:t>
      </w:r>
      <w:r w:rsidR="00A3085F">
        <w:rPr>
          <w:sz w:val="24"/>
        </w:rPr>
        <w:t xml:space="preserve">each </w:t>
      </w:r>
      <w:r w:rsidR="006B6D06">
        <w:rPr>
          <w:sz w:val="24"/>
        </w:rPr>
        <w:t xml:space="preserve">of the </w:t>
      </w:r>
      <w:r w:rsidR="006B6D06" w:rsidRPr="006B6D06">
        <w:rPr>
          <w:i/>
          <w:sz w:val="24"/>
        </w:rPr>
        <w:t>n</w:t>
      </w:r>
      <w:r w:rsidR="006B6D06">
        <w:rPr>
          <w:sz w:val="24"/>
        </w:rPr>
        <w:t xml:space="preserve"> laboratories (</w:t>
      </w:r>
      <w:proofErr w:type="spellStart"/>
      <w:r w:rsidR="00A3085F">
        <w:rPr>
          <w:i/>
          <w:sz w:val="24"/>
        </w:rPr>
        <w:t>i</w:t>
      </w:r>
      <w:proofErr w:type="spellEnd"/>
      <w:r w:rsidR="006B6D06">
        <w:rPr>
          <w:sz w:val="24"/>
        </w:rPr>
        <w:t xml:space="preserve"> = 1 </w:t>
      </w:r>
      <w:proofErr w:type="spellStart"/>
      <w:r w:rsidR="006B6D06">
        <w:rPr>
          <w:sz w:val="24"/>
        </w:rPr>
        <w:t xml:space="preserve">to </w:t>
      </w:r>
      <w:r w:rsidR="006B6D06" w:rsidRPr="006B6D06">
        <w:rPr>
          <w:i/>
          <w:sz w:val="24"/>
        </w:rPr>
        <w:t>n</w:t>
      </w:r>
      <w:proofErr w:type="spellEnd"/>
      <w:r w:rsidR="006B6D06">
        <w:rPr>
          <w:sz w:val="24"/>
        </w:rPr>
        <w:t xml:space="preserve">) </w:t>
      </w:r>
      <w:r w:rsidR="00C64256">
        <w:rPr>
          <w:sz w:val="24"/>
        </w:rPr>
        <w:t>has the</w:t>
      </w:r>
      <w:r w:rsidR="00A3085F">
        <w:rPr>
          <w:sz w:val="24"/>
        </w:rPr>
        <w:t xml:space="preserve"> </w:t>
      </w:r>
      <w:r w:rsidR="006B6D06" w:rsidRPr="006B6D06">
        <w:rPr>
          <w:i/>
          <w:sz w:val="24"/>
        </w:rPr>
        <w:t>p</w:t>
      </w:r>
      <w:r w:rsidR="006B6D06">
        <w:rPr>
          <w:sz w:val="24"/>
        </w:rPr>
        <w:t xml:space="preserve"> </w:t>
      </w:r>
      <w:r w:rsidR="00A3085F">
        <w:rPr>
          <w:sz w:val="24"/>
        </w:rPr>
        <w:t xml:space="preserve">results </w:t>
      </w:r>
      <w:proofErr w:type="spellStart"/>
      <w:r w:rsidR="00A3085F">
        <w:rPr>
          <w:i/>
          <w:sz w:val="24"/>
        </w:rPr>
        <w:t>N</w:t>
      </w:r>
      <w:r w:rsidR="006B6D06">
        <w:rPr>
          <w:i/>
          <w:sz w:val="24"/>
          <w:vertAlign w:val="subscript"/>
        </w:rPr>
        <w:t>K,i,j</w:t>
      </w:r>
      <w:proofErr w:type="spellEnd"/>
      <w:r w:rsidR="00020F27">
        <w:rPr>
          <w:sz w:val="24"/>
        </w:rPr>
        <w:t xml:space="preserve"> </w:t>
      </w:r>
      <w:r w:rsidR="00A5080B" w:rsidRPr="00A5080B">
        <w:rPr>
          <w:sz w:val="24"/>
        </w:rPr>
        <w:t xml:space="preserve">and </w:t>
      </w:r>
      <w:r w:rsidR="00020F27">
        <w:rPr>
          <w:sz w:val="24"/>
        </w:rPr>
        <w:t>the LINK</w:t>
      </w:r>
      <w:r w:rsidR="00A3085F">
        <w:rPr>
          <w:sz w:val="24"/>
        </w:rPr>
        <w:t xml:space="preserve"> </w:t>
      </w:r>
      <w:r w:rsidR="00020F27">
        <w:rPr>
          <w:sz w:val="24"/>
        </w:rPr>
        <w:t>has</w:t>
      </w:r>
      <w:r w:rsidR="00020F27" w:rsidRPr="00C64256">
        <w:rPr>
          <w:sz w:val="24"/>
        </w:rPr>
        <w:t xml:space="preserve"> </w:t>
      </w:r>
      <w:r w:rsidR="00C64256" w:rsidRPr="00C64256">
        <w:rPr>
          <w:sz w:val="24"/>
        </w:rPr>
        <w:t>the</w:t>
      </w:r>
      <w:r w:rsidR="00A3085F" w:rsidRPr="00C64256">
        <w:rPr>
          <w:sz w:val="24"/>
        </w:rPr>
        <w:t xml:space="preserve"> </w:t>
      </w:r>
      <w:r w:rsidR="00385CAC">
        <w:rPr>
          <w:sz w:val="24"/>
        </w:rPr>
        <w:t>results</w:t>
      </w:r>
      <w:r w:rsidR="00A3085F">
        <w:rPr>
          <w:sz w:val="24"/>
        </w:rPr>
        <w:t xml:space="preserve"> </w:t>
      </w:r>
      <w:proofErr w:type="spellStart"/>
      <w:r w:rsidR="00A3085F">
        <w:rPr>
          <w:i/>
          <w:sz w:val="24"/>
        </w:rPr>
        <w:t>N</w:t>
      </w:r>
      <w:r w:rsidR="00A3085F">
        <w:rPr>
          <w:i/>
          <w:sz w:val="24"/>
          <w:vertAlign w:val="subscript"/>
        </w:rPr>
        <w:t>K</w:t>
      </w:r>
      <w:r w:rsidR="00A3085F">
        <w:rPr>
          <w:sz w:val="24"/>
          <w:vertAlign w:val="subscript"/>
        </w:rPr>
        <w:t>,LINK,</w:t>
      </w:r>
      <w:r w:rsidR="006B6D06">
        <w:rPr>
          <w:i/>
          <w:sz w:val="24"/>
          <w:vertAlign w:val="subscript"/>
        </w:rPr>
        <w:t>j</w:t>
      </w:r>
      <w:proofErr w:type="spellEnd"/>
      <w:r w:rsidR="00385CAC" w:rsidRPr="00A5080B">
        <w:rPr>
          <w:sz w:val="24"/>
        </w:rPr>
        <w:t xml:space="preserve">. </w:t>
      </w:r>
      <w:r w:rsidR="00385CAC">
        <w:rPr>
          <w:sz w:val="24"/>
        </w:rPr>
        <w:t>R</w:t>
      </w:r>
      <w:r w:rsidR="00ED5A74">
        <w:rPr>
          <w:sz w:val="24"/>
        </w:rPr>
        <w:t>elation (1</w:t>
      </w:r>
      <w:r w:rsidR="00A3085F">
        <w:rPr>
          <w:sz w:val="24"/>
        </w:rPr>
        <w:t xml:space="preserve">) gives rise to the </w:t>
      </w:r>
      <w:r w:rsidR="009411F8" w:rsidRPr="009411F8">
        <w:rPr>
          <w:i/>
          <w:sz w:val="24"/>
        </w:rPr>
        <w:t>n</w:t>
      </w:r>
      <w:r w:rsidR="00A3085F">
        <w:rPr>
          <w:i/>
          <w:sz w:val="24"/>
        </w:rPr>
        <w:t>p</w:t>
      </w:r>
      <w:r w:rsidR="00A3085F">
        <w:rPr>
          <w:sz w:val="24"/>
        </w:rPr>
        <w:t xml:space="preserve"> values </w:t>
      </w:r>
      <w:proofErr w:type="spellStart"/>
      <w:r w:rsidR="00A3085F">
        <w:rPr>
          <w:i/>
          <w:sz w:val="24"/>
        </w:rPr>
        <w:t>R</w:t>
      </w:r>
      <w:r w:rsidR="00B52C53">
        <w:rPr>
          <w:i/>
          <w:sz w:val="24"/>
          <w:vertAlign w:val="subscript"/>
        </w:rPr>
        <w:t>i,j</w:t>
      </w:r>
      <w:proofErr w:type="spellEnd"/>
      <w:r w:rsidR="00AA7B70">
        <w:rPr>
          <w:sz w:val="24"/>
        </w:rPr>
        <w:t xml:space="preserve"> with mean value</w:t>
      </w:r>
      <w:r w:rsidR="00B52C53">
        <w:rPr>
          <w:sz w:val="24"/>
        </w:rPr>
        <w:t xml:space="preserve"> for each laboratory</w:t>
      </w:r>
    </w:p>
    <w:p w:rsidR="00AD1F74" w:rsidRDefault="00A26EB2" w:rsidP="00065C0B">
      <w:pPr>
        <w:spacing w:before="360" w:line="300" w:lineRule="exact"/>
        <w:ind w:left="7082" w:firstLine="709"/>
        <w:rPr>
          <w:sz w:val="24"/>
        </w:rPr>
      </w:pPr>
      <w:r>
        <w:rPr>
          <w:noProof/>
          <w:sz w:val="24"/>
          <w:lang w:val="fr-FR"/>
        </w:rPr>
        <w:pict>
          <v:shape id="_x0000_s1031" type="#_x0000_t75" style="position:absolute;left:0;text-align:left;margin-left:29.9pt;margin-top:5.3pt;width:62.1pt;height:44.2pt;z-index:-251652096;mso-position-horizontal-relative:text;mso-position-vertical-relative:text" fillcolor="window">
            <v:imagedata r:id="rId15" o:title=""/>
          </v:shape>
          <o:OLEObject Type="Embed" ProgID="Equation.3" ShapeID="_x0000_s1031" DrawAspect="Content" ObjectID="_1559046978" r:id="rId16"/>
        </w:pict>
      </w:r>
      <w:r w:rsidR="00A20D19">
        <w:rPr>
          <w:sz w:val="24"/>
        </w:rPr>
        <w:t>(</w:t>
      </w:r>
      <w:r w:rsidR="00ED5A74">
        <w:rPr>
          <w:sz w:val="24"/>
        </w:rPr>
        <w:t>4</w:t>
      </w:r>
      <w:r w:rsidR="00AD1F74">
        <w:rPr>
          <w:sz w:val="24"/>
        </w:rPr>
        <w:t>)</w:t>
      </w:r>
    </w:p>
    <w:p w:rsidR="00065C0B" w:rsidRDefault="00B52C53" w:rsidP="00065C0B">
      <w:pPr>
        <w:spacing w:before="360" w:line="300" w:lineRule="exact"/>
        <w:rPr>
          <w:sz w:val="24"/>
        </w:rPr>
      </w:pPr>
      <w:r>
        <w:rPr>
          <w:sz w:val="24"/>
        </w:rPr>
        <w:t>The standard uncertainty of each</w:t>
      </w:r>
      <w:r w:rsidR="00AA7B70">
        <w:rPr>
          <w:sz w:val="24"/>
        </w:rPr>
        <w:t xml:space="preserve"> mean </w:t>
      </w:r>
      <w:proofErr w:type="spellStart"/>
      <w:proofErr w:type="gramStart"/>
      <w:r w:rsidRPr="00B52C53">
        <w:rPr>
          <w:i/>
          <w:sz w:val="24"/>
        </w:rPr>
        <w:t>R</w:t>
      </w:r>
      <w:r w:rsidRPr="00B52C53">
        <w:rPr>
          <w:i/>
          <w:sz w:val="24"/>
          <w:vertAlign w:val="subscript"/>
        </w:rPr>
        <w:t>i</w:t>
      </w:r>
      <w:proofErr w:type="spellEnd"/>
      <w:proofErr w:type="gramEnd"/>
      <w:r>
        <w:rPr>
          <w:sz w:val="24"/>
        </w:rPr>
        <w:t xml:space="preserve"> </w:t>
      </w:r>
      <w:r w:rsidR="00AA7B70">
        <w:rPr>
          <w:sz w:val="24"/>
        </w:rPr>
        <w:t>gives information on the uncertainty arising from the transfer chambers,</w:t>
      </w:r>
    </w:p>
    <w:p w:rsidR="00AD1F74" w:rsidRDefault="00A26EB2" w:rsidP="004935D8">
      <w:pPr>
        <w:spacing w:before="400" w:line="300" w:lineRule="exact"/>
        <w:ind w:left="7082" w:firstLine="709"/>
        <w:rPr>
          <w:sz w:val="24"/>
        </w:rPr>
      </w:pPr>
      <w:r>
        <w:rPr>
          <w:noProof/>
          <w:sz w:val="24"/>
          <w:lang w:val="fr-FR"/>
        </w:rPr>
        <w:pict>
          <v:shape id="_x0000_s1032" type="#_x0000_t75" style="position:absolute;left:0;text-align:left;margin-left:31.85pt;margin-top:6.3pt;width:96pt;height:45.15pt;z-index:-251651072;mso-position-horizontal-relative:text;mso-position-vertical-relative:text" fillcolor="window">
            <v:imagedata r:id="rId17" o:title=""/>
          </v:shape>
          <o:OLEObject Type="Embed" ProgID="Equation.3" ShapeID="_x0000_s1032" DrawAspect="Content" ObjectID="_1559046979" r:id="rId18"/>
        </w:pict>
      </w:r>
      <w:r w:rsidR="00A20D19">
        <w:rPr>
          <w:sz w:val="24"/>
        </w:rPr>
        <w:t>(</w:t>
      </w:r>
      <w:r w:rsidR="00ED5A74">
        <w:rPr>
          <w:sz w:val="24"/>
        </w:rPr>
        <w:t>5</w:t>
      </w:r>
      <w:r w:rsidR="00AD1F74">
        <w:rPr>
          <w:sz w:val="24"/>
        </w:rPr>
        <w:t>)</w:t>
      </w:r>
    </w:p>
    <w:p w:rsidR="00A3085F" w:rsidRPr="00AA7B70" w:rsidRDefault="00AA7B70" w:rsidP="00AA7B70">
      <w:pPr>
        <w:spacing w:before="400" w:line="300" w:lineRule="exact"/>
        <w:rPr>
          <w:sz w:val="24"/>
          <w:szCs w:val="24"/>
        </w:rPr>
      </w:pPr>
      <w:r>
        <w:rPr>
          <w:sz w:val="24"/>
        </w:rPr>
        <w:t xml:space="preserve">This </w:t>
      </w:r>
      <w:r w:rsidR="0068389E">
        <w:rPr>
          <w:sz w:val="24"/>
        </w:rPr>
        <w:t xml:space="preserve">value for </w:t>
      </w:r>
      <w:proofErr w:type="spellStart"/>
      <w:r w:rsidR="0068389E" w:rsidRPr="0068389E">
        <w:rPr>
          <w:i/>
          <w:sz w:val="24"/>
        </w:rPr>
        <w:t>u</w:t>
      </w:r>
      <w:r w:rsidR="0068389E" w:rsidRPr="0068389E">
        <w:rPr>
          <w:sz w:val="24"/>
          <w:vertAlign w:val="subscript"/>
        </w:rPr>
        <w:t>tr</w:t>
      </w:r>
      <w:proofErr w:type="spellEnd"/>
      <w:r w:rsidR="0068389E">
        <w:rPr>
          <w:sz w:val="24"/>
        </w:rPr>
        <w:t xml:space="preserve"> </w:t>
      </w:r>
      <w:r>
        <w:rPr>
          <w:sz w:val="24"/>
        </w:rPr>
        <w:t>can be used in equation (2) for the case of multiple transfer chambers.</w:t>
      </w:r>
      <w:r>
        <w:rPr>
          <w:sz w:val="24"/>
          <w:szCs w:val="24"/>
        </w:rPr>
        <w:t xml:space="preserve"> </w:t>
      </w:r>
      <w:r w:rsidR="009409D9">
        <w:rPr>
          <w:sz w:val="24"/>
          <w:szCs w:val="24"/>
        </w:rPr>
        <w:t>Eq</w:t>
      </w:r>
      <w:r>
        <w:rPr>
          <w:sz w:val="24"/>
          <w:szCs w:val="24"/>
        </w:rPr>
        <w:t>uation (5</w:t>
      </w:r>
      <w:r w:rsidR="009409D9">
        <w:rPr>
          <w:sz w:val="24"/>
          <w:szCs w:val="24"/>
        </w:rPr>
        <w:t xml:space="preserve">) </w:t>
      </w:r>
      <w:r w:rsidR="009409D9" w:rsidRPr="00ED5A74">
        <w:rPr>
          <w:sz w:val="24"/>
          <w:szCs w:val="24"/>
        </w:rPr>
        <w:t>reflect</w:t>
      </w:r>
      <w:r w:rsidR="009409D9">
        <w:rPr>
          <w:sz w:val="24"/>
          <w:szCs w:val="24"/>
        </w:rPr>
        <w:t>s</w:t>
      </w:r>
      <w:r w:rsidR="009409D9" w:rsidRPr="00ED5A74">
        <w:rPr>
          <w:sz w:val="24"/>
          <w:szCs w:val="24"/>
        </w:rPr>
        <w:t xml:space="preserve"> the improvement in </w:t>
      </w:r>
      <w:r w:rsidR="009409D9">
        <w:rPr>
          <w:sz w:val="24"/>
          <w:szCs w:val="24"/>
        </w:rPr>
        <w:t xml:space="preserve">uncertainty that can be </w:t>
      </w:r>
      <w:r w:rsidR="009409D9" w:rsidRPr="00ED5A74">
        <w:rPr>
          <w:sz w:val="24"/>
          <w:szCs w:val="24"/>
        </w:rPr>
        <w:t>achieved by the use of multiple transfer</w:t>
      </w:r>
      <w:r w:rsidR="009409D9">
        <w:rPr>
          <w:sz w:val="24"/>
          <w:szCs w:val="24"/>
        </w:rPr>
        <w:t xml:space="preserve"> </w:t>
      </w:r>
      <w:r w:rsidR="009409D9" w:rsidRPr="00ED5A74">
        <w:rPr>
          <w:sz w:val="24"/>
          <w:szCs w:val="24"/>
        </w:rPr>
        <w:t xml:space="preserve">chambers </w:t>
      </w:r>
      <w:r w:rsidR="009409D9">
        <w:rPr>
          <w:sz w:val="24"/>
          <w:szCs w:val="24"/>
        </w:rPr>
        <w:t>(</w:t>
      </w:r>
      <w:r w:rsidR="000D4912">
        <w:rPr>
          <w:sz w:val="24"/>
          <w:szCs w:val="24"/>
        </w:rPr>
        <w:t xml:space="preserve">as well as the advantage of </w:t>
      </w:r>
      <w:r w:rsidR="009409D9" w:rsidRPr="00ED5A74">
        <w:rPr>
          <w:sz w:val="24"/>
          <w:szCs w:val="24"/>
        </w:rPr>
        <w:t>redundancy in the event of failure</w:t>
      </w:r>
      <w:r w:rsidR="000D4912">
        <w:rPr>
          <w:sz w:val="24"/>
          <w:szCs w:val="24"/>
        </w:rPr>
        <w:t xml:space="preserve"> of a transfer chamber</w:t>
      </w:r>
      <w:r w:rsidR="009409D9">
        <w:rPr>
          <w:sz w:val="24"/>
          <w:szCs w:val="24"/>
        </w:rPr>
        <w:t>)</w:t>
      </w:r>
      <w:r w:rsidR="009409D9" w:rsidRPr="00ED5A74">
        <w:rPr>
          <w:sz w:val="24"/>
          <w:szCs w:val="24"/>
        </w:rPr>
        <w:t>.</w:t>
      </w:r>
      <w:r w:rsidR="009409D9">
        <w:rPr>
          <w:sz w:val="24"/>
          <w:szCs w:val="24"/>
        </w:rPr>
        <w:t xml:space="preserve"> However, this improvement is only realized if the spread of the transfer chamber results </w:t>
      </w:r>
      <w:r>
        <w:rPr>
          <w:sz w:val="24"/>
          <w:szCs w:val="24"/>
        </w:rPr>
        <w:t xml:space="preserve">is consistent with the </w:t>
      </w:r>
      <w:proofErr w:type="spellStart"/>
      <w:r>
        <w:rPr>
          <w:sz w:val="24"/>
          <w:szCs w:val="24"/>
        </w:rPr>
        <w:t>reproducibil</w:t>
      </w:r>
      <w:r w:rsidR="00176978">
        <w:rPr>
          <w:sz w:val="24"/>
          <w:szCs w:val="24"/>
        </w:rPr>
        <w:t>ities</w:t>
      </w:r>
      <w:proofErr w:type="spellEnd"/>
      <w:r>
        <w:rPr>
          <w:sz w:val="24"/>
          <w:szCs w:val="24"/>
        </w:rPr>
        <w:t xml:space="preserve"> of the individual chambers</w:t>
      </w:r>
      <w:r w:rsidR="00A3085F" w:rsidRPr="00ED5A74">
        <w:rPr>
          <w:sz w:val="24"/>
          <w:szCs w:val="24"/>
        </w:rPr>
        <w:t>.</w:t>
      </w:r>
    </w:p>
    <w:p w:rsidR="00A3085F" w:rsidRDefault="00ED5A74">
      <w:pPr>
        <w:spacing w:before="240" w:line="300" w:lineRule="exact"/>
        <w:rPr>
          <w:b/>
          <w:sz w:val="24"/>
        </w:rPr>
      </w:pPr>
      <w:r>
        <w:rPr>
          <w:b/>
          <w:sz w:val="24"/>
        </w:rPr>
        <w:lastRenderedPageBreak/>
        <w:t>4</w:t>
      </w:r>
      <w:r w:rsidR="00A3085F">
        <w:rPr>
          <w:b/>
          <w:sz w:val="24"/>
        </w:rPr>
        <w:t>.   Multiple linking laboratories</w:t>
      </w:r>
    </w:p>
    <w:p w:rsidR="0047515A" w:rsidRDefault="00532C6A">
      <w:pPr>
        <w:spacing w:before="120" w:line="300" w:lineRule="exact"/>
        <w:rPr>
          <w:sz w:val="24"/>
        </w:rPr>
      </w:pPr>
      <w:r>
        <w:rPr>
          <w:sz w:val="24"/>
        </w:rPr>
        <w:t>A comparison can be made more robust</w:t>
      </w:r>
      <w:r w:rsidR="0047515A">
        <w:rPr>
          <w:sz w:val="24"/>
        </w:rPr>
        <w:t xml:space="preserve">, and in particular </w:t>
      </w:r>
      <w:proofErr w:type="spellStart"/>
      <w:r w:rsidR="0047515A" w:rsidRPr="0047515A">
        <w:rPr>
          <w:i/>
          <w:sz w:val="24"/>
        </w:rPr>
        <w:t>u</w:t>
      </w:r>
      <w:r w:rsidR="0047515A" w:rsidRPr="0047515A">
        <w:rPr>
          <w:sz w:val="24"/>
          <w:vertAlign w:val="subscript"/>
        </w:rPr>
        <w:t>LINK</w:t>
      </w:r>
      <w:proofErr w:type="spellEnd"/>
      <w:r w:rsidR="0047515A">
        <w:rPr>
          <w:sz w:val="24"/>
        </w:rPr>
        <w:t xml:space="preserve"> </w:t>
      </w:r>
      <w:r w:rsidR="002E4A8D">
        <w:rPr>
          <w:sz w:val="24"/>
        </w:rPr>
        <w:t xml:space="preserve">can be </w:t>
      </w:r>
      <w:r w:rsidR="0047515A">
        <w:rPr>
          <w:sz w:val="24"/>
        </w:rPr>
        <w:t>more reliably determined,</w:t>
      </w:r>
      <w:r>
        <w:rPr>
          <w:sz w:val="24"/>
        </w:rPr>
        <w:t xml:space="preserve"> by including more than one LINK. We consider a </w:t>
      </w:r>
      <w:r w:rsidR="00A3085F">
        <w:rPr>
          <w:sz w:val="24"/>
        </w:rPr>
        <w:t xml:space="preserve">comparison with </w:t>
      </w:r>
      <w:r w:rsidR="00A3085F">
        <w:rPr>
          <w:i/>
          <w:sz w:val="24"/>
        </w:rPr>
        <w:t>q</w:t>
      </w:r>
      <w:r w:rsidR="00A3085F">
        <w:rPr>
          <w:sz w:val="24"/>
        </w:rPr>
        <w:t xml:space="preserve"> linking laboratori</w:t>
      </w:r>
      <w:r w:rsidR="002E4A8D">
        <w:rPr>
          <w:sz w:val="24"/>
        </w:rPr>
        <w:t>es (</w:t>
      </w:r>
      <w:r w:rsidR="00B52C53" w:rsidRPr="00B52C53">
        <w:rPr>
          <w:i/>
          <w:sz w:val="24"/>
        </w:rPr>
        <w:t>k</w:t>
      </w:r>
      <w:r w:rsidR="00B52C53">
        <w:rPr>
          <w:sz w:val="24"/>
        </w:rPr>
        <w:t xml:space="preserve"> = 1 to </w:t>
      </w:r>
      <w:r w:rsidR="00B52C53" w:rsidRPr="00B52C53">
        <w:rPr>
          <w:i/>
          <w:sz w:val="24"/>
        </w:rPr>
        <w:t>q</w:t>
      </w:r>
      <w:r w:rsidR="00B52C53">
        <w:rPr>
          <w:sz w:val="24"/>
        </w:rPr>
        <w:t xml:space="preserve">) </w:t>
      </w:r>
      <w:r w:rsidR="002E4A8D">
        <w:rPr>
          <w:sz w:val="24"/>
        </w:rPr>
        <w:t>and a single transfer chamber</w:t>
      </w:r>
      <w:r w:rsidR="00A20D19">
        <w:rPr>
          <w:sz w:val="24"/>
        </w:rPr>
        <w:t>. In this case relation (1</w:t>
      </w:r>
      <w:r w:rsidR="0047515A">
        <w:rPr>
          <w:sz w:val="24"/>
        </w:rPr>
        <w:t xml:space="preserve">) gives rise to the </w:t>
      </w:r>
      <w:r w:rsidR="009411F8" w:rsidRPr="009411F8">
        <w:rPr>
          <w:i/>
          <w:sz w:val="24"/>
        </w:rPr>
        <w:t>n</w:t>
      </w:r>
      <w:r w:rsidR="00A3085F">
        <w:rPr>
          <w:i/>
          <w:sz w:val="24"/>
        </w:rPr>
        <w:t>q</w:t>
      </w:r>
      <w:r w:rsidR="00A3085F">
        <w:rPr>
          <w:sz w:val="24"/>
        </w:rPr>
        <w:t xml:space="preserve"> values </w:t>
      </w:r>
      <w:proofErr w:type="spellStart"/>
      <w:r w:rsidR="00A3085F">
        <w:rPr>
          <w:i/>
          <w:sz w:val="24"/>
        </w:rPr>
        <w:t>R</w:t>
      </w:r>
      <w:r w:rsidR="00B52C53">
        <w:rPr>
          <w:i/>
          <w:sz w:val="24"/>
          <w:vertAlign w:val="subscript"/>
        </w:rPr>
        <w:t>i</w:t>
      </w:r>
      <w:proofErr w:type="gramStart"/>
      <w:r w:rsidR="00B52C53">
        <w:rPr>
          <w:i/>
          <w:sz w:val="24"/>
          <w:vertAlign w:val="subscript"/>
        </w:rPr>
        <w:t>,k</w:t>
      </w:r>
      <w:proofErr w:type="spellEnd"/>
      <w:proofErr w:type="gramEnd"/>
      <w:r w:rsidR="00AA7B70">
        <w:rPr>
          <w:sz w:val="24"/>
        </w:rPr>
        <w:t xml:space="preserve"> and Section 2 will yield</w:t>
      </w:r>
      <w:r w:rsidR="00CE0795">
        <w:rPr>
          <w:sz w:val="24"/>
        </w:rPr>
        <w:t xml:space="preserve"> the</w:t>
      </w:r>
      <w:r w:rsidR="00AA7B70">
        <w:rPr>
          <w:sz w:val="24"/>
        </w:rPr>
        <w:t xml:space="preserve"> </w:t>
      </w:r>
      <w:r w:rsidR="00AA7B70" w:rsidRPr="00AA7B70">
        <w:rPr>
          <w:i/>
          <w:sz w:val="24"/>
        </w:rPr>
        <w:t>q</w:t>
      </w:r>
      <w:r w:rsidR="00AA7B70">
        <w:rPr>
          <w:sz w:val="24"/>
        </w:rPr>
        <w:t xml:space="preserve"> estimates </w:t>
      </w:r>
      <w:proofErr w:type="spellStart"/>
      <w:r w:rsidR="00AA7B70">
        <w:rPr>
          <w:i/>
          <w:sz w:val="24"/>
        </w:rPr>
        <w:t>u</w:t>
      </w:r>
      <w:r w:rsidR="00AA7B70">
        <w:rPr>
          <w:sz w:val="24"/>
          <w:vertAlign w:val="subscript"/>
        </w:rPr>
        <w:t>LINK,</w:t>
      </w:r>
      <w:r w:rsidR="00B52C53">
        <w:rPr>
          <w:i/>
          <w:sz w:val="24"/>
          <w:vertAlign w:val="subscript"/>
        </w:rPr>
        <w:t>k</w:t>
      </w:r>
      <w:proofErr w:type="spellEnd"/>
      <w:r w:rsidR="00AA7B70">
        <w:rPr>
          <w:sz w:val="24"/>
        </w:rPr>
        <w:t>.</w:t>
      </w:r>
      <w:r w:rsidR="00A3085F">
        <w:rPr>
          <w:sz w:val="24"/>
        </w:rPr>
        <w:t xml:space="preserve"> </w:t>
      </w:r>
      <w:r w:rsidR="00952C4D">
        <w:rPr>
          <w:sz w:val="24"/>
        </w:rPr>
        <w:t>G</w:t>
      </w:r>
      <w:r w:rsidR="0068389E">
        <w:rPr>
          <w:sz w:val="24"/>
        </w:rPr>
        <w:t xml:space="preserve">iven </w:t>
      </w:r>
      <w:r w:rsidR="00952C4D">
        <w:rPr>
          <w:sz w:val="24"/>
        </w:rPr>
        <w:t xml:space="preserve">the difficulty sometimes encountered in making a robust estimate of </w:t>
      </w:r>
      <w:proofErr w:type="spellStart"/>
      <w:r w:rsidR="00952C4D">
        <w:rPr>
          <w:i/>
          <w:sz w:val="24"/>
        </w:rPr>
        <w:t>u</w:t>
      </w:r>
      <w:r w:rsidR="00952C4D">
        <w:rPr>
          <w:sz w:val="24"/>
          <w:vertAlign w:val="subscript"/>
        </w:rPr>
        <w:t>LINK</w:t>
      </w:r>
      <w:proofErr w:type="gramStart"/>
      <w:r w:rsidR="00952C4D">
        <w:rPr>
          <w:sz w:val="24"/>
          <w:vertAlign w:val="subscript"/>
        </w:rPr>
        <w:t>,</w:t>
      </w:r>
      <w:r w:rsidR="00B52C53">
        <w:rPr>
          <w:i/>
          <w:sz w:val="24"/>
          <w:vertAlign w:val="subscript"/>
        </w:rPr>
        <w:t>k</w:t>
      </w:r>
      <w:proofErr w:type="spellEnd"/>
      <w:proofErr w:type="gramEnd"/>
      <w:r w:rsidR="00952C4D">
        <w:rPr>
          <w:sz w:val="24"/>
        </w:rPr>
        <w:t>, a</w:t>
      </w:r>
      <w:r w:rsidR="00ED5A74">
        <w:rPr>
          <w:sz w:val="24"/>
        </w:rPr>
        <w:t xml:space="preserve">n alternative estimate can be made from the spread of the </w:t>
      </w:r>
      <w:proofErr w:type="spellStart"/>
      <w:r w:rsidR="00ED5A74" w:rsidRPr="00ED5A74">
        <w:rPr>
          <w:i/>
          <w:sz w:val="24"/>
        </w:rPr>
        <w:t>R</w:t>
      </w:r>
      <w:r w:rsidR="00B52C53">
        <w:rPr>
          <w:i/>
          <w:sz w:val="24"/>
          <w:vertAlign w:val="subscript"/>
        </w:rPr>
        <w:t>i,k</w:t>
      </w:r>
      <w:proofErr w:type="spellEnd"/>
      <w:r w:rsidR="00ED5A74">
        <w:rPr>
          <w:sz w:val="24"/>
        </w:rPr>
        <w:t xml:space="preserve"> for different linking laboratories</w:t>
      </w:r>
      <w:r w:rsidR="0047515A">
        <w:rPr>
          <w:sz w:val="24"/>
        </w:rPr>
        <w:t>.</w:t>
      </w:r>
    </w:p>
    <w:p w:rsidR="00D72530" w:rsidRDefault="00ED5A74" w:rsidP="00D72530">
      <w:pPr>
        <w:spacing w:before="120" w:line="300" w:lineRule="exact"/>
        <w:rPr>
          <w:sz w:val="24"/>
        </w:rPr>
      </w:pPr>
      <w:r>
        <w:rPr>
          <w:sz w:val="24"/>
        </w:rPr>
        <w:t xml:space="preserve">We </w:t>
      </w:r>
      <w:r w:rsidR="00A3085F">
        <w:rPr>
          <w:sz w:val="24"/>
        </w:rPr>
        <w:t xml:space="preserve">evaluate </w:t>
      </w:r>
      <w:r w:rsidR="00A3085F">
        <w:rPr>
          <w:i/>
          <w:sz w:val="24"/>
        </w:rPr>
        <w:t>R</w:t>
      </w:r>
      <w:r w:rsidR="00A3085F">
        <w:rPr>
          <w:i/>
          <w:sz w:val="24"/>
          <w:vertAlign w:val="subscript"/>
        </w:rPr>
        <w:t>i</w:t>
      </w:r>
      <w:r w:rsidR="00A3085F">
        <w:rPr>
          <w:sz w:val="24"/>
        </w:rPr>
        <w:t xml:space="preserve"> as the unweighted mean of the </w:t>
      </w:r>
      <w:proofErr w:type="spellStart"/>
      <w:r w:rsidR="00A3085F">
        <w:rPr>
          <w:i/>
          <w:sz w:val="24"/>
        </w:rPr>
        <w:t>R</w:t>
      </w:r>
      <w:r w:rsidR="00B52C53">
        <w:rPr>
          <w:i/>
          <w:sz w:val="24"/>
          <w:vertAlign w:val="subscript"/>
        </w:rPr>
        <w:t>i</w:t>
      </w:r>
      <w:proofErr w:type="gramStart"/>
      <w:r w:rsidR="00B52C53">
        <w:rPr>
          <w:i/>
          <w:sz w:val="24"/>
          <w:vertAlign w:val="subscript"/>
        </w:rPr>
        <w:t>,k</w:t>
      </w:r>
      <w:proofErr w:type="spellEnd"/>
      <w:proofErr w:type="gramEnd"/>
      <w:r w:rsidR="0047515A">
        <w:rPr>
          <w:sz w:val="24"/>
        </w:rPr>
        <w:t xml:space="preserve"> </w:t>
      </w:r>
    </w:p>
    <w:p w:rsidR="00D72530" w:rsidRDefault="00A26EB2" w:rsidP="002E2401">
      <w:pPr>
        <w:spacing w:before="400" w:line="300" w:lineRule="exact"/>
        <w:ind w:left="7082" w:firstLine="709"/>
        <w:rPr>
          <w:sz w:val="24"/>
        </w:rPr>
      </w:pPr>
      <w:r>
        <w:rPr>
          <w:noProof/>
          <w:sz w:val="24"/>
          <w:lang w:val="fr-FR"/>
        </w:rPr>
        <w:pict>
          <v:shape id="_x0000_s1033" type="#_x0000_t75" style="position:absolute;left:0;text-align:left;margin-left:29.9pt;margin-top:7.8pt;width:59.05pt;height:43.2pt;z-index:-251649024;mso-position-horizontal-relative:text;mso-position-vertical-relative:text" fillcolor="window">
            <v:imagedata r:id="rId19" o:title=""/>
          </v:shape>
          <o:OLEObject Type="Embed" ProgID="Equation.3" ShapeID="_x0000_s1033" DrawAspect="Content" ObjectID="_1559046980" r:id="rId20"/>
        </w:pict>
      </w:r>
      <w:r w:rsidR="00A20D19">
        <w:rPr>
          <w:sz w:val="24"/>
        </w:rPr>
        <w:t>(</w:t>
      </w:r>
      <w:r w:rsidR="00AA7B70">
        <w:rPr>
          <w:sz w:val="24"/>
        </w:rPr>
        <w:t>6</w:t>
      </w:r>
      <w:r w:rsidR="00D72530">
        <w:rPr>
          <w:sz w:val="24"/>
        </w:rPr>
        <w:t>)</w:t>
      </w:r>
    </w:p>
    <w:p w:rsidR="00AD242B" w:rsidRPr="00ED5A74" w:rsidRDefault="00ED5A74" w:rsidP="002E2401">
      <w:pPr>
        <w:spacing w:before="400" w:line="300" w:lineRule="exact"/>
        <w:rPr>
          <w:sz w:val="24"/>
        </w:rPr>
      </w:pPr>
      <w:proofErr w:type="gramStart"/>
      <w:r>
        <w:rPr>
          <w:sz w:val="24"/>
        </w:rPr>
        <w:t>and</w:t>
      </w:r>
      <w:proofErr w:type="gramEnd"/>
      <w:r>
        <w:rPr>
          <w:sz w:val="24"/>
        </w:rPr>
        <w:t xml:space="preserve"> </w:t>
      </w:r>
      <w:r w:rsidR="001761E2">
        <w:rPr>
          <w:sz w:val="24"/>
        </w:rPr>
        <w:t xml:space="preserve">make a first </w:t>
      </w:r>
      <w:r w:rsidR="00D72530">
        <w:rPr>
          <w:sz w:val="24"/>
        </w:rPr>
        <w:t>estimate</w:t>
      </w:r>
      <w:r w:rsidR="001761E2">
        <w:rPr>
          <w:sz w:val="24"/>
        </w:rPr>
        <w:t xml:space="preserve"> of</w:t>
      </w:r>
      <w:r w:rsidR="00D72530">
        <w:rPr>
          <w:sz w:val="24"/>
        </w:rPr>
        <w:t xml:space="preserve"> </w:t>
      </w:r>
      <w:proofErr w:type="spellStart"/>
      <w:r w:rsidR="00D72530">
        <w:rPr>
          <w:i/>
          <w:sz w:val="24"/>
        </w:rPr>
        <w:t>u</w:t>
      </w:r>
      <w:r w:rsidR="00D72530">
        <w:rPr>
          <w:sz w:val="24"/>
          <w:vertAlign w:val="subscript"/>
        </w:rPr>
        <w:t>LINK</w:t>
      </w:r>
      <w:proofErr w:type="spellEnd"/>
      <w:r w:rsidR="00D72530">
        <w:rPr>
          <w:sz w:val="24"/>
        </w:rPr>
        <w:t xml:space="preserve"> </w:t>
      </w:r>
      <w:r w:rsidR="001761E2">
        <w:rPr>
          <w:sz w:val="24"/>
        </w:rPr>
        <w:t>as</w:t>
      </w:r>
    </w:p>
    <w:p w:rsidR="00D72530" w:rsidRDefault="00A26EB2" w:rsidP="00A20D19">
      <w:pPr>
        <w:spacing w:before="400" w:line="300" w:lineRule="exact"/>
        <w:ind w:left="7082" w:firstLine="709"/>
        <w:rPr>
          <w:sz w:val="24"/>
        </w:rPr>
      </w:pPr>
      <w:r>
        <w:rPr>
          <w:noProof/>
          <w:sz w:val="24"/>
          <w:lang w:val="fr-FR"/>
        </w:rPr>
        <w:pict>
          <v:shape id="_x0000_s1034" type="#_x0000_t75" style="position:absolute;left:0;text-align:left;margin-left:31.85pt;margin-top:6.3pt;width:109pt;height:44.2pt;z-index:-251648000;mso-position-horizontal-relative:text;mso-position-vertical-relative:text" fillcolor="window">
            <v:imagedata r:id="rId21" o:title=""/>
          </v:shape>
          <o:OLEObject Type="Embed" ProgID="Equation.3" ShapeID="_x0000_s1034" DrawAspect="Content" ObjectID="_1559046981" r:id="rId22"/>
        </w:pict>
      </w:r>
      <w:r w:rsidR="00A20D19">
        <w:rPr>
          <w:sz w:val="24"/>
        </w:rPr>
        <w:t>(</w:t>
      </w:r>
      <w:r w:rsidR="00AA7B70">
        <w:rPr>
          <w:sz w:val="24"/>
        </w:rPr>
        <w:t>7</w:t>
      </w:r>
      <w:r w:rsidR="00D72530">
        <w:rPr>
          <w:sz w:val="24"/>
        </w:rPr>
        <w:t>)</w:t>
      </w:r>
    </w:p>
    <w:p w:rsidR="00D72530" w:rsidRDefault="004E62D8" w:rsidP="00A20D19">
      <w:pPr>
        <w:spacing w:before="400" w:line="300" w:lineRule="exact"/>
        <w:rPr>
          <w:sz w:val="24"/>
        </w:rPr>
      </w:pPr>
      <w:r>
        <w:rPr>
          <w:sz w:val="24"/>
        </w:rPr>
        <w:t xml:space="preserve">The </w:t>
      </w:r>
      <w:r w:rsidR="00ED5A74">
        <w:rPr>
          <w:sz w:val="24"/>
        </w:rPr>
        <w:t xml:space="preserve">best estimate of </w:t>
      </w:r>
      <w:proofErr w:type="spellStart"/>
      <w:r w:rsidR="00ED5A74" w:rsidRPr="00ED5A74">
        <w:rPr>
          <w:i/>
          <w:sz w:val="24"/>
        </w:rPr>
        <w:t>u</w:t>
      </w:r>
      <w:r w:rsidR="00ED5A74" w:rsidRPr="00ED5A74">
        <w:rPr>
          <w:sz w:val="24"/>
          <w:vertAlign w:val="subscript"/>
        </w:rPr>
        <w:t>LINK</w:t>
      </w:r>
      <w:proofErr w:type="spellEnd"/>
      <w:r w:rsidR="00A20D19">
        <w:rPr>
          <w:sz w:val="24"/>
        </w:rPr>
        <w:t xml:space="preserve"> to be used in equation (2</w:t>
      </w:r>
      <w:r w:rsidR="00ED5A74">
        <w:rPr>
          <w:sz w:val="24"/>
        </w:rPr>
        <w:t xml:space="preserve">) is that derived from </w:t>
      </w:r>
      <w:r w:rsidR="00AA7B70">
        <w:rPr>
          <w:sz w:val="24"/>
        </w:rPr>
        <w:t>equation (7</w:t>
      </w:r>
      <w:r w:rsidR="00ED5A74">
        <w:rPr>
          <w:sz w:val="24"/>
        </w:rPr>
        <w:t>) or from</w:t>
      </w:r>
    </w:p>
    <w:p w:rsidR="00D72530" w:rsidRDefault="00D72530" w:rsidP="004E62D8">
      <w:pPr>
        <w:spacing w:before="120"/>
        <w:rPr>
          <w:sz w:val="24"/>
        </w:rPr>
      </w:pPr>
      <w:r>
        <w:rPr>
          <w:sz w:val="24"/>
        </w:rPr>
        <w:tab/>
      </w:r>
      <w:r w:rsidR="009A6963" w:rsidRPr="00BC37C7">
        <w:rPr>
          <w:position w:val="-32"/>
          <w:sz w:val="24"/>
        </w:rPr>
        <w:object w:dxaOrig="1860" w:dyaOrig="700">
          <v:shape id="_x0000_i1032" type="#_x0000_t75" style="width:93.05pt;height:35.05pt" o:ole="" fillcolor="window">
            <v:imagedata r:id="rId23" o:title=""/>
          </v:shape>
          <o:OLEObject Type="Embed" ProgID="Equation.3" ShapeID="_x0000_i1032" DrawAspect="Content" ObjectID="_1559046976" r:id="rId24"/>
        </w:object>
      </w:r>
      <w:r w:rsidR="00A20D19">
        <w:rPr>
          <w:sz w:val="24"/>
        </w:rPr>
        <w:tab/>
      </w:r>
      <w:r w:rsidR="00A20D19">
        <w:rPr>
          <w:sz w:val="24"/>
        </w:rPr>
        <w:tab/>
      </w:r>
      <w:r w:rsidR="00A20D19">
        <w:rPr>
          <w:sz w:val="24"/>
        </w:rPr>
        <w:tab/>
      </w:r>
      <w:r w:rsidR="00A20D19">
        <w:rPr>
          <w:sz w:val="24"/>
        </w:rPr>
        <w:tab/>
      </w:r>
      <w:r w:rsidR="00A20D19">
        <w:rPr>
          <w:sz w:val="24"/>
        </w:rPr>
        <w:tab/>
      </w:r>
      <w:r w:rsidR="00A20D19">
        <w:rPr>
          <w:sz w:val="24"/>
        </w:rPr>
        <w:tab/>
      </w:r>
      <w:r w:rsidR="00A20D19">
        <w:rPr>
          <w:sz w:val="24"/>
        </w:rPr>
        <w:tab/>
      </w:r>
      <w:r w:rsidR="00A20D19">
        <w:rPr>
          <w:sz w:val="24"/>
        </w:rPr>
        <w:tab/>
      </w:r>
      <w:r w:rsidR="00AA7B70">
        <w:rPr>
          <w:sz w:val="24"/>
        </w:rPr>
        <w:t>(8</w:t>
      </w:r>
      <w:r>
        <w:rPr>
          <w:sz w:val="24"/>
        </w:rPr>
        <w:t>)</w:t>
      </w:r>
    </w:p>
    <w:p w:rsidR="00A3085F" w:rsidRPr="004E62D8" w:rsidRDefault="00A20D19" w:rsidP="004E62D8">
      <w:pPr>
        <w:spacing w:before="120" w:line="300" w:lineRule="exact"/>
        <w:rPr>
          <w:sz w:val="24"/>
        </w:rPr>
      </w:pPr>
      <w:proofErr w:type="gramStart"/>
      <w:r>
        <w:rPr>
          <w:sz w:val="24"/>
        </w:rPr>
        <w:t>which</w:t>
      </w:r>
      <w:r w:rsidR="00ED5A74">
        <w:rPr>
          <w:sz w:val="24"/>
        </w:rPr>
        <w:t>ever</w:t>
      </w:r>
      <w:proofErr w:type="gramEnd"/>
      <w:r w:rsidR="00ED5A74">
        <w:rPr>
          <w:sz w:val="24"/>
        </w:rPr>
        <w:t xml:space="preserve"> is the larger</w:t>
      </w:r>
      <w:r w:rsidR="0068389E">
        <w:rPr>
          <w:sz w:val="24"/>
        </w:rPr>
        <w:t xml:space="preserve">. This approach prevents fortuitous agreement from resulting in an unrealistically low value for </w:t>
      </w:r>
      <w:proofErr w:type="spellStart"/>
      <w:r w:rsidR="0068389E" w:rsidRPr="0068389E">
        <w:rPr>
          <w:i/>
          <w:sz w:val="24"/>
        </w:rPr>
        <w:t>u</w:t>
      </w:r>
      <w:r w:rsidR="0068389E" w:rsidRPr="0068389E">
        <w:rPr>
          <w:sz w:val="24"/>
          <w:vertAlign w:val="subscript"/>
        </w:rPr>
        <w:t>LINK</w:t>
      </w:r>
      <w:proofErr w:type="spellEnd"/>
      <w:r w:rsidR="00A3085F">
        <w:t>.</w:t>
      </w:r>
    </w:p>
    <w:p w:rsidR="00A3085F" w:rsidRDefault="00ED5A74" w:rsidP="00065C0B">
      <w:pPr>
        <w:keepNext/>
        <w:keepLines/>
        <w:spacing w:before="240" w:line="300" w:lineRule="exact"/>
        <w:rPr>
          <w:b/>
          <w:sz w:val="24"/>
        </w:rPr>
      </w:pPr>
      <w:r>
        <w:rPr>
          <w:b/>
          <w:sz w:val="24"/>
        </w:rPr>
        <w:t>5</w:t>
      </w:r>
      <w:r w:rsidR="00A3085F">
        <w:rPr>
          <w:b/>
          <w:sz w:val="24"/>
        </w:rPr>
        <w:t>.  General case</w:t>
      </w:r>
    </w:p>
    <w:p w:rsidR="00340C9B" w:rsidRDefault="00C82C18" w:rsidP="00340C9B">
      <w:pPr>
        <w:keepNext/>
        <w:keepLines/>
        <w:spacing w:before="120" w:line="300" w:lineRule="exact"/>
        <w:rPr>
          <w:sz w:val="24"/>
        </w:rPr>
      </w:pPr>
      <w:r>
        <w:rPr>
          <w:sz w:val="24"/>
        </w:rPr>
        <w:t>We consider</w:t>
      </w:r>
      <w:r w:rsidR="00A3085F">
        <w:rPr>
          <w:sz w:val="24"/>
        </w:rPr>
        <w:t xml:space="preserve"> the general case of</w:t>
      </w:r>
      <w:r w:rsidR="009A6963">
        <w:rPr>
          <w:sz w:val="24"/>
        </w:rPr>
        <w:t xml:space="preserve"> </w:t>
      </w:r>
      <w:r w:rsidR="009A6963" w:rsidRPr="009A6963">
        <w:rPr>
          <w:i/>
          <w:sz w:val="24"/>
        </w:rPr>
        <w:t>n</w:t>
      </w:r>
      <w:r w:rsidR="009A6963">
        <w:rPr>
          <w:sz w:val="24"/>
        </w:rPr>
        <w:t xml:space="preserve"> laboratories (</w:t>
      </w:r>
      <w:proofErr w:type="spellStart"/>
      <w:r w:rsidR="009A6963" w:rsidRPr="009A6963">
        <w:rPr>
          <w:i/>
          <w:sz w:val="24"/>
        </w:rPr>
        <w:t>i</w:t>
      </w:r>
      <w:proofErr w:type="spellEnd"/>
      <w:r w:rsidR="009A6963">
        <w:rPr>
          <w:sz w:val="24"/>
        </w:rPr>
        <w:t xml:space="preserve"> = 1 </w:t>
      </w:r>
      <w:proofErr w:type="spellStart"/>
      <w:r w:rsidR="009A6963">
        <w:rPr>
          <w:sz w:val="24"/>
        </w:rPr>
        <w:t xml:space="preserve">to </w:t>
      </w:r>
      <w:r w:rsidR="009A6963" w:rsidRPr="009A6963">
        <w:rPr>
          <w:i/>
          <w:sz w:val="24"/>
        </w:rPr>
        <w:t>n</w:t>
      </w:r>
      <w:proofErr w:type="spellEnd"/>
      <w:r w:rsidR="009A6963">
        <w:rPr>
          <w:sz w:val="24"/>
        </w:rPr>
        <w:t>),</w:t>
      </w:r>
      <w:r w:rsidR="00A3085F">
        <w:rPr>
          <w:sz w:val="24"/>
        </w:rPr>
        <w:t xml:space="preserve"> </w:t>
      </w:r>
      <w:r w:rsidR="00A3085F">
        <w:rPr>
          <w:i/>
          <w:sz w:val="24"/>
        </w:rPr>
        <w:t>p</w:t>
      </w:r>
      <w:r w:rsidR="002E4A8D">
        <w:rPr>
          <w:sz w:val="24"/>
        </w:rPr>
        <w:t xml:space="preserve"> transfer chamber</w:t>
      </w:r>
      <w:r w:rsidR="00A3085F">
        <w:rPr>
          <w:sz w:val="24"/>
        </w:rPr>
        <w:t xml:space="preserve">s </w:t>
      </w:r>
      <w:r w:rsidR="009A6963">
        <w:rPr>
          <w:sz w:val="24"/>
        </w:rPr>
        <w:t>(</w:t>
      </w:r>
      <w:r w:rsidR="009A6963" w:rsidRPr="009A6963">
        <w:rPr>
          <w:i/>
          <w:sz w:val="24"/>
        </w:rPr>
        <w:t>j</w:t>
      </w:r>
      <w:r w:rsidR="009A6963">
        <w:rPr>
          <w:sz w:val="24"/>
        </w:rPr>
        <w:t xml:space="preserve"> = 1 to </w:t>
      </w:r>
      <w:r w:rsidR="009A6963" w:rsidRPr="009A6963">
        <w:rPr>
          <w:i/>
          <w:sz w:val="24"/>
        </w:rPr>
        <w:t>p</w:t>
      </w:r>
      <w:r w:rsidR="009A6963">
        <w:rPr>
          <w:sz w:val="24"/>
        </w:rPr>
        <w:t xml:space="preserve">) </w:t>
      </w:r>
      <w:r w:rsidR="00A3085F">
        <w:rPr>
          <w:sz w:val="24"/>
        </w:rPr>
        <w:t xml:space="preserve">and </w:t>
      </w:r>
      <w:r w:rsidR="00A3085F">
        <w:rPr>
          <w:i/>
          <w:sz w:val="24"/>
        </w:rPr>
        <w:t>q</w:t>
      </w:r>
      <w:r w:rsidR="00A3085F">
        <w:rPr>
          <w:sz w:val="24"/>
        </w:rPr>
        <w:t xml:space="preserve"> linking laboratories</w:t>
      </w:r>
      <w:r w:rsidR="009A6963">
        <w:rPr>
          <w:sz w:val="24"/>
        </w:rPr>
        <w:t xml:space="preserve"> (</w:t>
      </w:r>
      <w:r w:rsidR="009A6963" w:rsidRPr="009A6963">
        <w:rPr>
          <w:i/>
          <w:sz w:val="24"/>
        </w:rPr>
        <w:t>k</w:t>
      </w:r>
      <w:r w:rsidR="009A6963">
        <w:rPr>
          <w:sz w:val="24"/>
        </w:rPr>
        <w:t xml:space="preserve"> = 1 to </w:t>
      </w:r>
      <w:r w:rsidR="009A6963" w:rsidRPr="009A6963">
        <w:rPr>
          <w:i/>
          <w:sz w:val="24"/>
        </w:rPr>
        <w:t>q</w:t>
      </w:r>
      <w:r w:rsidR="009A6963">
        <w:rPr>
          <w:sz w:val="24"/>
        </w:rPr>
        <w:t>)</w:t>
      </w:r>
      <w:r w:rsidR="00A3085F">
        <w:rPr>
          <w:sz w:val="24"/>
        </w:rPr>
        <w:t xml:space="preserve">, yielding the </w:t>
      </w:r>
      <w:proofErr w:type="spellStart"/>
      <w:r w:rsidR="009411F8" w:rsidRPr="009411F8">
        <w:rPr>
          <w:i/>
          <w:sz w:val="24"/>
        </w:rPr>
        <w:t>n</w:t>
      </w:r>
      <w:r w:rsidR="00A3085F">
        <w:rPr>
          <w:i/>
          <w:sz w:val="24"/>
        </w:rPr>
        <w:t>pq</w:t>
      </w:r>
      <w:proofErr w:type="spellEnd"/>
      <w:r w:rsidR="00A3085F">
        <w:rPr>
          <w:sz w:val="24"/>
        </w:rPr>
        <w:t xml:space="preserve"> values </w:t>
      </w:r>
      <w:proofErr w:type="spellStart"/>
      <w:r w:rsidR="00A3085F">
        <w:rPr>
          <w:i/>
          <w:sz w:val="24"/>
        </w:rPr>
        <w:t>R</w:t>
      </w:r>
      <w:r w:rsidR="009A6963">
        <w:rPr>
          <w:i/>
          <w:sz w:val="24"/>
          <w:vertAlign w:val="subscript"/>
        </w:rPr>
        <w:t>i,j,k</w:t>
      </w:r>
      <w:proofErr w:type="spellEnd"/>
      <w:r w:rsidR="002E4A8D">
        <w:rPr>
          <w:sz w:val="24"/>
        </w:rPr>
        <w:t xml:space="preserve"> with </w:t>
      </w:r>
      <w:r w:rsidR="0068389E" w:rsidRPr="0068389E">
        <w:rPr>
          <w:i/>
          <w:sz w:val="24"/>
        </w:rPr>
        <w:t>q</w:t>
      </w:r>
      <w:r w:rsidR="0068389E">
        <w:rPr>
          <w:sz w:val="24"/>
        </w:rPr>
        <w:t xml:space="preserve"> </w:t>
      </w:r>
      <w:r w:rsidR="00A3085F">
        <w:rPr>
          <w:sz w:val="24"/>
        </w:rPr>
        <w:t xml:space="preserve">linking uncertainties </w:t>
      </w:r>
      <w:proofErr w:type="spellStart"/>
      <w:r w:rsidR="00A3085F">
        <w:rPr>
          <w:i/>
          <w:sz w:val="24"/>
        </w:rPr>
        <w:t>u</w:t>
      </w:r>
      <w:r w:rsidR="00A3085F">
        <w:rPr>
          <w:sz w:val="24"/>
          <w:vertAlign w:val="subscript"/>
        </w:rPr>
        <w:t>LINK,</w:t>
      </w:r>
      <w:r w:rsidR="009A6963">
        <w:rPr>
          <w:i/>
          <w:sz w:val="24"/>
          <w:vertAlign w:val="subscript"/>
        </w:rPr>
        <w:t>k</w:t>
      </w:r>
      <w:proofErr w:type="spellEnd"/>
      <w:r>
        <w:rPr>
          <w:sz w:val="24"/>
        </w:rPr>
        <w:t>. Treatment of these data can follow sequentially the analyses presented above. T</w:t>
      </w:r>
      <w:r w:rsidR="00A3085F">
        <w:rPr>
          <w:sz w:val="24"/>
        </w:rPr>
        <w:t xml:space="preserve">he </w:t>
      </w:r>
      <w:r w:rsidR="007202EC">
        <w:rPr>
          <w:sz w:val="24"/>
        </w:rPr>
        <w:t>method</w:t>
      </w:r>
      <w:r>
        <w:rPr>
          <w:sz w:val="24"/>
        </w:rPr>
        <w:t xml:space="preserve"> </w:t>
      </w:r>
      <w:r w:rsidR="007202EC">
        <w:rPr>
          <w:sz w:val="24"/>
        </w:rPr>
        <w:t>described</w:t>
      </w:r>
      <w:r w:rsidR="00A20D19">
        <w:rPr>
          <w:sz w:val="24"/>
        </w:rPr>
        <w:t xml:space="preserve"> in Section 3</w:t>
      </w:r>
      <w:r w:rsidR="00A3085F">
        <w:rPr>
          <w:sz w:val="24"/>
        </w:rPr>
        <w:t xml:space="preserve"> can be used to deri</w:t>
      </w:r>
      <w:r w:rsidR="004E62D8">
        <w:rPr>
          <w:sz w:val="24"/>
        </w:rPr>
        <w:t xml:space="preserve">ve the </w:t>
      </w:r>
      <w:r w:rsidR="00A3085F">
        <w:rPr>
          <w:sz w:val="24"/>
        </w:rPr>
        <w:t>mean value</w:t>
      </w:r>
      <w:r w:rsidR="00340C9B">
        <w:rPr>
          <w:sz w:val="24"/>
        </w:rPr>
        <w:t xml:space="preserve"> </w:t>
      </w:r>
    </w:p>
    <w:p w:rsidR="00340C9B" w:rsidRDefault="00A26EB2" w:rsidP="00340C9B">
      <w:pPr>
        <w:spacing w:before="360" w:line="300" w:lineRule="exact"/>
        <w:ind w:left="7082" w:firstLine="709"/>
        <w:rPr>
          <w:sz w:val="24"/>
        </w:rPr>
      </w:pPr>
      <w:r>
        <w:rPr>
          <w:noProof/>
          <w:sz w:val="24"/>
          <w:lang w:val="fr-FR"/>
        </w:rPr>
        <w:pict>
          <v:shape id="_x0000_s1035" type="#_x0000_t75" style="position:absolute;left:0;text-align:left;margin-left:29.9pt;margin-top:5.3pt;width:71pt;height:44.2pt;z-index:-251645952;mso-position-horizontal-relative:text;mso-position-vertical-relative:text" fillcolor="window">
            <v:imagedata r:id="rId25" o:title=""/>
          </v:shape>
          <o:OLEObject Type="Embed" ProgID="Equation.3" ShapeID="_x0000_s1035" DrawAspect="Content" ObjectID="_1559046982" r:id="rId26"/>
        </w:pict>
      </w:r>
      <w:r w:rsidR="00A20D19">
        <w:rPr>
          <w:sz w:val="24"/>
        </w:rPr>
        <w:t>(</w:t>
      </w:r>
      <w:r w:rsidR="00AA7B70">
        <w:rPr>
          <w:sz w:val="24"/>
        </w:rPr>
        <w:t>9</w:t>
      </w:r>
      <w:r w:rsidR="00340C9B">
        <w:rPr>
          <w:sz w:val="24"/>
        </w:rPr>
        <w:t>)</w:t>
      </w:r>
    </w:p>
    <w:p w:rsidR="00A04395" w:rsidRDefault="00A20D19" w:rsidP="00A04395">
      <w:pPr>
        <w:keepNext/>
        <w:keepLines/>
        <w:spacing w:before="360" w:line="300" w:lineRule="exact"/>
        <w:rPr>
          <w:sz w:val="24"/>
        </w:rPr>
      </w:pPr>
      <w:proofErr w:type="gramStart"/>
      <w:r>
        <w:rPr>
          <w:sz w:val="24"/>
        </w:rPr>
        <w:t>for</w:t>
      </w:r>
      <w:proofErr w:type="gramEnd"/>
      <w:r>
        <w:rPr>
          <w:sz w:val="24"/>
        </w:rPr>
        <w:t xml:space="preserve"> each laboratory</w:t>
      </w:r>
      <w:r w:rsidR="00C82C18">
        <w:rPr>
          <w:sz w:val="24"/>
        </w:rPr>
        <w:t xml:space="preserve"> </w:t>
      </w:r>
      <w:proofErr w:type="spellStart"/>
      <w:r w:rsidR="00C82C18" w:rsidRPr="00C82C18">
        <w:rPr>
          <w:i/>
          <w:sz w:val="24"/>
        </w:rPr>
        <w:t>i</w:t>
      </w:r>
      <w:proofErr w:type="spellEnd"/>
      <w:r w:rsidR="00C82C18">
        <w:rPr>
          <w:sz w:val="24"/>
        </w:rPr>
        <w:t xml:space="preserve">, as determined using </w:t>
      </w:r>
      <w:r w:rsidR="00F34AA1">
        <w:rPr>
          <w:sz w:val="24"/>
        </w:rPr>
        <w:t>each</w:t>
      </w:r>
      <w:r w:rsidR="00340C9B">
        <w:rPr>
          <w:sz w:val="24"/>
        </w:rPr>
        <w:t xml:space="preserve"> </w:t>
      </w:r>
      <w:r w:rsidR="00C82C18">
        <w:rPr>
          <w:sz w:val="24"/>
        </w:rPr>
        <w:t xml:space="preserve">linking laboratory </w:t>
      </w:r>
      <w:r w:rsidR="009A6963">
        <w:rPr>
          <w:i/>
          <w:sz w:val="24"/>
        </w:rPr>
        <w:t>k</w:t>
      </w:r>
      <w:r w:rsidR="00340C9B">
        <w:rPr>
          <w:sz w:val="24"/>
        </w:rPr>
        <w:t xml:space="preserve">, along with </w:t>
      </w:r>
      <w:r w:rsidR="00C82C18">
        <w:rPr>
          <w:sz w:val="24"/>
        </w:rPr>
        <w:t xml:space="preserve">the combined </w:t>
      </w:r>
      <w:proofErr w:type="spellStart"/>
      <w:r w:rsidR="00A91488" w:rsidRPr="00A91488">
        <w:rPr>
          <w:i/>
          <w:sz w:val="24"/>
        </w:rPr>
        <w:t>u</w:t>
      </w:r>
      <w:r w:rsidR="00AA7B70">
        <w:rPr>
          <w:sz w:val="24"/>
          <w:vertAlign w:val="subscript"/>
        </w:rPr>
        <w:t>tr</w:t>
      </w:r>
      <w:proofErr w:type="spellEnd"/>
      <w:r w:rsidR="00340C9B">
        <w:rPr>
          <w:sz w:val="24"/>
        </w:rPr>
        <w:t xml:space="preserve"> derived </w:t>
      </w:r>
      <w:r w:rsidR="00CE0795">
        <w:rPr>
          <w:sz w:val="24"/>
        </w:rPr>
        <w:t>using</w:t>
      </w:r>
    </w:p>
    <w:p w:rsidR="00A04395" w:rsidRDefault="00A26EB2" w:rsidP="00A04395">
      <w:pPr>
        <w:spacing w:before="400" w:line="300" w:lineRule="exact"/>
        <w:ind w:left="7082" w:firstLine="709"/>
        <w:rPr>
          <w:sz w:val="24"/>
        </w:rPr>
      </w:pPr>
      <w:r>
        <w:rPr>
          <w:noProof/>
          <w:sz w:val="24"/>
          <w:lang w:val="fr-FR"/>
        </w:rPr>
        <w:pict>
          <v:shape id="_x0000_s1061" type="#_x0000_t75" style="position:absolute;left:0;text-align:left;margin-left:31.85pt;margin-top:6.3pt;width:109pt;height:45.15pt;z-index:-251641856;mso-position-horizontal-relative:text;mso-position-vertical-relative:text" fillcolor="window">
            <v:imagedata r:id="rId27" o:title=""/>
          </v:shape>
          <o:OLEObject Type="Embed" ProgID="Equation.3" ShapeID="_x0000_s1061" DrawAspect="Content" ObjectID="_1559046983" r:id="rId28"/>
        </w:pict>
      </w:r>
      <w:r w:rsidR="00A04395">
        <w:rPr>
          <w:sz w:val="24"/>
        </w:rPr>
        <w:t>(10)</w:t>
      </w:r>
    </w:p>
    <w:p w:rsidR="00A04395" w:rsidRDefault="00A04395" w:rsidP="00F34AA1">
      <w:pPr>
        <w:keepNext/>
        <w:keepLines/>
        <w:spacing w:before="120" w:line="300" w:lineRule="exact"/>
        <w:rPr>
          <w:sz w:val="24"/>
        </w:rPr>
      </w:pPr>
    </w:p>
    <w:p w:rsidR="00A3085F" w:rsidRPr="005E35BC" w:rsidRDefault="00A20D19" w:rsidP="00F34AA1">
      <w:pPr>
        <w:keepNext/>
        <w:keepLines/>
        <w:spacing w:before="120" w:line="300" w:lineRule="exact"/>
        <w:rPr>
          <w:sz w:val="24"/>
        </w:rPr>
      </w:pPr>
      <w:r>
        <w:rPr>
          <w:sz w:val="24"/>
        </w:rPr>
        <w:t>Following Section 4</w:t>
      </w:r>
      <w:r w:rsidR="00F34AA1">
        <w:rPr>
          <w:sz w:val="24"/>
        </w:rPr>
        <w:t>, w</w:t>
      </w:r>
      <w:r w:rsidR="00954F5D">
        <w:rPr>
          <w:sz w:val="24"/>
        </w:rPr>
        <w:t xml:space="preserve">e can then use these </w:t>
      </w:r>
      <w:proofErr w:type="spellStart"/>
      <w:r w:rsidR="00954F5D" w:rsidRPr="00F34AA1">
        <w:rPr>
          <w:i/>
          <w:sz w:val="24"/>
        </w:rPr>
        <w:t>R</w:t>
      </w:r>
      <w:r w:rsidR="00954F5D" w:rsidRPr="00F34AA1">
        <w:rPr>
          <w:i/>
          <w:sz w:val="24"/>
          <w:vertAlign w:val="subscript"/>
        </w:rPr>
        <w:t>i</w:t>
      </w:r>
      <w:proofErr w:type="gramStart"/>
      <w:r w:rsidR="00954F5D" w:rsidRPr="00F34AA1">
        <w:rPr>
          <w:sz w:val="24"/>
          <w:vertAlign w:val="subscript"/>
        </w:rPr>
        <w:t>,</w:t>
      </w:r>
      <w:r w:rsidR="009A6963">
        <w:rPr>
          <w:i/>
          <w:sz w:val="24"/>
          <w:vertAlign w:val="subscript"/>
        </w:rPr>
        <w:t>k</w:t>
      </w:r>
      <w:proofErr w:type="spellEnd"/>
      <w:proofErr w:type="gramEnd"/>
      <w:r w:rsidR="00954F5D">
        <w:rPr>
          <w:sz w:val="24"/>
        </w:rPr>
        <w:t xml:space="preserve"> </w:t>
      </w:r>
      <w:r w:rsidR="00AA7B70">
        <w:rPr>
          <w:sz w:val="24"/>
        </w:rPr>
        <w:t>in equation (6</w:t>
      </w:r>
      <w:r w:rsidR="00F34AA1">
        <w:rPr>
          <w:sz w:val="24"/>
        </w:rPr>
        <w:t xml:space="preserve">) </w:t>
      </w:r>
      <w:r w:rsidR="00954F5D">
        <w:rPr>
          <w:sz w:val="24"/>
        </w:rPr>
        <w:t xml:space="preserve">to </w:t>
      </w:r>
      <w:r w:rsidR="00C82C18">
        <w:rPr>
          <w:sz w:val="24"/>
        </w:rPr>
        <w:t>evaluate</w:t>
      </w:r>
      <w:r w:rsidR="00F34AA1">
        <w:rPr>
          <w:sz w:val="24"/>
        </w:rPr>
        <w:t xml:space="preserve"> the</w:t>
      </w:r>
      <w:r w:rsidR="00C82C18">
        <w:rPr>
          <w:sz w:val="24"/>
        </w:rPr>
        <w:t xml:space="preserve"> </w:t>
      </w:r>
      <w:proofErr w:type="spellStart"/>
      <w:r w:rsidR="00A3085F">
        <w:rPr>
          <w:i/>
          <w:sz w:val="24"/>
        </w:rPr>
        <w:t>R</w:t>
      </w:r>
      <w:r w:rsidR="00A3085F">
        <w:rPr>
          <w:i/>
          <w:sz w:val="24"/>
          <w:vertAlign w:val="subscript"/>
        </w:rPr>
        <w:t>i</w:t>
      </w:r>
      <w:proofErr w:type="spellEnd"/>
      <w:r w:rsidR="00A3085F">
        <w:rPr>
          <w:sz w:val="24"/>
        </w:rPr>
        <w:t xml:space="preserve"> </w:t>
      </w:r>
      <w:r w:rsidR="00F34AA1">
        <w:rPr>
          <w:sz w:val="24"/>
        </w:rPr>
        <w:t xml:space="preserve">and use the </w:t>
      </w:r>
      <w:proofErr w:type="spellStart"/>
      <w:r w:rsidR="00F34AA1" w:rsidRPr="00F34AA1">
        <w:rPr>
          <w:i/>
          <w:sz w:val="24"/>
        </w:rPr>
        <w:t>u</w:t>
      </w:r>
      <w:r w:rsidR="00F34AA1" w:rsidRPr="00F34AA1">
        <w:rPr>
          <w:sz w:val="24"/>
          <w:vertAlign w:val="subscript"/>
        </w:rPr>
        <w:t>LINK,</w:t>
      </w:r>
      <w:r w:rsidR="009A6963">
        <w:rPr>
          <w:i/>
          <w:sz w:val="24"/>
          <w:vertAlign w:val="subscript"/>
        </w:rPr>
        <w:t>k</w:t>
      </w:r>
      <w:proofErr w:type="spellEnd"/>
      <w:r w:rsidR="00F34AA1">
        <w:rPr>
          <w:sz w:val="24"/>
        </w:rPr>
        <w:t xml:space="preserve"> to obtain the combined linking </w:t>
      </w:r>
      <w:r w:rsidR="00F34AA1" w:rsidRPr="005E35BC">
        <w:rPr>
          <w:sz w:val="24"/>
        </w:rPr>
        <w:t xml:space="preserve">uncertainty </w:t>
      </w:r>
      <w:proofErr w:type="spellStart"/>
      <w:r w:rsidR="00F34AA1" w:rsidRPr="005E35BC">
        <w:rPr>
          <w:i/>
          <w:sz w:val="24"/>
        </w:rPr>
        <w:t>u</w:t>
      </w:r>
      <w:r w:rsidR="00F34AA1" w:rsidRPr="005E35BC">
        <w:rPr>
          <w:sz w:val="24"/>
          <w:vertAlign w:val="subscript"/>
        </w:rPr>
        <w:t>LINK</w:t>
      </w:r>
      <w:proofErr w:type="spellEnd"/>
      <w:r w:rsidR="00F34AA1" w:rsidRPr="005E35BC">
        <w:rPr>
          <w:sz w:val="24"/>
        </w:rPr>
        <w:t xml:space="preserve"> as</w:t>
      </w:r>
      <w:r w:rsidR="00F34AA1">
        <w:rPr>
          <w:sz w:val="24"/>
        </w:rPr>
        <w:t xml:space="preserve"> the </w:t>
      </w:r>
      <w:r w:rsidR="00AA7B70">
        <w:rPr>
          <w:sz w:val="24"/>
        </w:rPr>
        <w:t>maximum value from equations (7) and (8</w:t>
      </w:r>
      <w:r w:rsidR="00F34AA1">
        <w:rPr>
          <w:sz w:val="24"/>
        </w:rPr>
        <w:t>). Finally</w:t>
      </w:r>
      <w:r w:rsidR="00F34AA1" w:rsidRPr="005E35BC">
        <w:rPr>
          <w:sz w:val="24"/>
        </w:rPr>
        <w:t xml:space="preserve">, </w:t>
      </w:r>
      <w:proofErr w:type="spellStart"/>
      <w:r w:rsidR="00F34AA1" w:rsidRPr="005E35BC">
        <w:rPr>
          <w:i/>
          <w:sz w:val="24"/>
        </w:rPr>
        <w:t>u</w:t>
      </w:r>
      <w:r w:rsidR="00AA7B70">
        <w:rPr>
          <w:sz w:val="24"/>
          <w:vertAlign w:val="subscript"/>
        </w:rPr>
        <w:t>tr</w:t>
      </w:r>
      <w:proofErr w:type="spellEnd"/>
      <w:r w:rsidR="00F34AA1" w:rsidRPr="005E35BC">
        <w:rPr>
          <w:sz w:val="24"/>
        </w:rPr>
        <w:t xml:space="preserve"> and </w:t>
      </w:r>
      <w:proofErr w:type="spellStart"/>
      <w:r w:rsidR="00F34AA1" w:rsidRPr="005E35BC">
        <w:rPr>
          <w:i/>
          <w:sz w:val="24"/>
        </w:rPr>
        <w:t>u</w:t>
      </w:r>
      <w:r w:rsidR="00F34AA1" w:rsidRPr="005E35BC">
        <w:rPr>
          <w:sz w:val="24"/>
          <w:vertAlign w:val="subscript"/>
        </w:rPr>
        <w:t>LINK</w:t>
      </w:r>
      <w:proofErr w:type="spellEnd"/>
      <w:r>
        <w:rPr>
          <w:sz w:val="24"/>
        </w:rPr>
        <w:t xml:space="preserve"> are inserted in equation (2</w:t>
      </w:r>
      <w:r w:rsidR="00F34AA1" w:rsidRPr="005E35BC">
        <w:rPr>
          <w:sz w:val="24"/>
        </w:rPr>
        <w:t>) to yield the combined</w:t>
      </w:r>
      <w:r w:rsidR="00A3085F" w:rsidRPr="005E35BC">
        <w:rPr>
          <w:sz w:val="24"/>
        </w:rPr>
        <w:t xml:space="preserve"> </w:t>
      </w:r>
      <w:proofErr w:type="spellStart"/>
      <w:r w:rsidR="00A3085F" w:rsidRPr="005E35BC">
        <w:rPr>
          <w:i/>
          <w:sz w:val="24"/>
        </w:rPr>
        <w:t>u</w:t>
      </w:r>
      <w:r w:rsidR="00A3085F" w:rsidRPr="005E35BC">
        <w:rPr>
          <w:i/>
          <w:sz w:val="24"/>
          <w:vertAlign w:val="subscript"/>
        </w:rPr>
        <w:t>R</w:t>
      </w:r>
      <w:proofErr w:type="gramStart"/>
      <w:r w:rsidR="00A3085F" w:rsidRPr="005E35BC">
        <w:rPr>
          <w:i/>
          <w:sz w:val="24"/>
          <w:vertAlign w:val="subscript"/>
        </w:rPr>
        <w:t>,i</w:t>
      </w:r>
      <w:proofErr w:type="spellEnd"/>
      <w:proofErr w:type="gramEnd"/>
      <w:r w:rsidR="00A3085F" w:rsidRPr="005E35BC">
        <w:rPr>
          <w:sz w:val="24"/>
        </w:rPr>
        <w:t xml:space="preserve"> for each </w:t>
      </w:r>
      <w:proofErr w:type="spellStart"/>
      <w:r w:rsidR="00A3085F" w:rsidRPr="005E35BC">
        <w:rPr>
          <w:i/>
          <w:sz w:val="24"/>
        </w:rPr>
        <w:t>R</w:t>
      </w:r>
      <w:r w:rsidR="00A3085F" w:rsidRPr="005E35BC">
        <w:rPr>
          <w:i/>
          <w:sz w:val="24"/>
          <w:vertAlign w:val="subscript"/>
        </w:rPr>
        <w:t>i</w:t>
      </w:r>
      <w:proofErr w:type="spellEnd"/>
      <w:r w:rsidR="00A3085F" w:rsidRPr="005E35BC">
        <w:rPr>
          <w:sz w:val="24"/>
        </w:rPr>
        <w:t>.</w:t>
      </w:r>
    </w:p>
    <w:p w:rsidR="00A3085F" w:rsidRPr="00C82C18" w:rsidRDefault="00A3085F">
      <w:pPr>
        <w:pStyle w:val="Heading2"/>
        <w:spacing w:before="240"/>
        <w:rPr>
          <w:sz w:val="22"/>
          <w:szCs w:val="22"/>
        </w:rPr>
      </w:pPr>
      <w:r w:rsidRPr="00C82C18">
        <w:rPr>
          <w:sz w:val="22"/>
          <w:szCs w:val="22"/>
        </w:rPr>
        <w:t>References</w:t>
      </w:r>
    </w:p>
    <w:p w:rsidR="00A3085F" w:rsidRPr="00C82C18" w:rsidRDefault="00A3085F" w:rsidP="00C0068C">
      <w:pPr>
        <w:spacing w:before="120" w:line="300" w:lineRule="exact"/>
        <w:ind w:left="426" w:hanging="426"/>
        <w:rPr>
          <w:sz w:val="22"/>
          <w:szCs w:val="22"/>
        </w:rPr>
      </w:pPr>
      <w:r w:rsidRPr="00C82C18">
        <w:rPr>
          <w:sz w:val="22"/>
          <w:szCs w:val="22"/>
        </w:rPr>
        <w:t>[1]</w:t>
      </w:r>
      <w:r w:rsidRPr="00C82C18">
        <w:rPr>
          <w:sz w:val="22"/>
          <w:szCs w:val="22"/>
        </w:rPr>
        <w:tab/>
        <w:t xml:space="preserve">P. J. Allisy-Roberts and D. T. Burns, Summary of the BIPM.RI(I)-K4 comparison for absorbed dose to water in </w:t>
      </w:r>
      <w:r w:rsidRPr="00C82C18">
        <w:rPr>
          <w:sz w:val="22"/>
          <w:szCs w:val="22"/>
          <w:vertAlign w:val="superscript"/>
        </w:rPr>
        <w:t>60</w:t>
      </w:r>
      <w:r w:rsidRPr="00C82C18">
        <w:rPr>
          <w:sz w:val="22"/>
          <w:szCs w:val="22"/>
        </w:rPr>
        <w:t xml:space="preserve">Co gamma radiation, </w:t>
      </w:r>
      <w:r w:rsidRPr="00C82C18">
        <w:rPr>
          <w:i/>
          <w:sz w:val="22"/>
          <w:szCs w:val="22"/>
        </w:rPr>
        <w:t>Metrologia</w:t>
      </w:r>
      <w:r w:rsidRPr="00C82C18">
        <w:rPr>
          <w:sz w:val="22"/>
          <w:szCs w:val="22"/>
        </w:rPr>
        <w:t xml:space="preserve"> </w:t>
      </w:r>
      <w:r w:rsidRPr="00C82C18">
        <w:rPr>
          <w:b/>
          <w:sz w:val="22"/>
          <w:szCs w:val="22"/>
        </w:rPr>
        <w:t>42</w:t>
      </w:r>
      <w:r w:rsidRPr="00C82C18">
        <w:rPr>
          <w:sz w:val="22"/>
          <w:szCs w:val="22"/>
        </w:rPr>
        <w:t xml:space="preserve"> (2005) </w:t>
      </w:r>
      <w:r w:rsidRPr="007F02F1">
        <w:rPr>
          <w:i/>
          <w:sz w:val="22"/>
          <w:szCs w:val="22"/>
        </w:rPr>
        <w:t>Technical Supplement</w:t>
      </w:r>
      <w:r w:rsidRPr="00C82C18">
        <w:rPr>
          <w:sz w:val="22"/>
          <w:szCs w:val="22"/>
        </w:rPr>
        <w:t xml:space="preserve"> 06002.</w:t>
      </w:r>
    </w:p>
    <w:sectPr w:rsidR="00A3085F" w:rsidRPr="00C82C18">
      <w:headerReference w:type="even" r:id="rId29"/>
      <w:headerReference w:type="default" r:id="rId30"/>
      <w:footerReference w:type="even" r:id="rId31"/>
      <w:footerReference w:type="default" r:id="rId32"/>
      <w:headerReference w:type="first" r:id="rId33"/>
      <w:footerReference w:type="first" r:id="rId34"/>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5F" w:rsidRDefault="00A3085F" w:rsidP="00660B29">
      <w:r>
        <w:separator/>
      </w:r>
    </w:p>
  </w:endnote>
  <w:endnote w:type="continuationSeparator" w:id="0">
    <w:p w:rsidR="00A3085F" w:rsidRDefault="00A3085F" w:rsidP="0066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B2" w:rsidRDefault="00A26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929588"/>
      <w:docPartObj>
        <w:docPartGallery w:val="Page Numbers (Bottom of Page)"/>
        <w:docPartUnique/>
      </w:docPartObj>
    </w:sdtPr>
    <w:sdtEndPr/>
    <w:sdtContent>
      <w:sdt>
        <w:sdtPr>
          <w:id w:val="98381352"/>
          <w:docPartObj>
            <w:docPartGallery w:val="Page Numbers (Top of Page)"/>
            <w:docPartUnique/>
          </w:docPartObj>
        </w:sdtPr>
        <w:sdtEndPr/>
        <w:sdtContent>
          <w:p w:rsidR="00AD242B" w:rsidRDefault="00AD242B" w:rsidP="00AD242B">
            <w:pPr>
              <w:pStyle w:val="Footer"/>
              <w:jc w:val="center"/>
            </w:pPr>
          </w:p>
          <w:p w:rsidR="00AD242B" w:rsidRPr="00AD242B" w:rsidRDefault="00AD242B" w:rsidP="00AD242B">
            <w:pPr>
              <w:pStyle w:val="Footer"/>
              <w:jc w:val="center"/>
            </w:pPr>
            <w:r w:rsidRPr="00AD242B">
              <w:rPr>
                <w:lang w:val="fr-FR"/>
              </w:rPr>
              <w:t xml:space="preserve">Page </w:t>
            </w:r>
            <w:r w:rsidRPr="00AD242B">
              <w:rPr>
                <w:bCs/>
                <w:sz w:val="24"/>
                <w:szCs w:val="24"/>
              </w:rPr>
              <w:fldChar w:fldCharType="begin"/>
            </w:r>
            <w:r w:rsidRPr="00AD242B">
              <w:rPr>
                <w:bCs/>
              </w:rPr>
              <w:instrText>PAGE</w:instrText>
            </w:r>
            <w:r w:rsidRPr="00AD242B">
              <w:rPr>
                <w:bCs/>
                <w:sz w:val="24"/>
                <w:szCs w:val="24"/>
              </w:rPr>
              <w:fldChar w:fldCharType="separate"/>
            </w:r>
            <w:r w:rsidR="00A26EB2">
              <w:rPr>
                <w:bCs/>
                <w:noProof/>
              </w:rPr>
              <w:t>1</w:t>
            </w:r>
            <w:r w:rsidRPr="00AD242B">
              <w:rPr>
                <w:bCs/>
                <w:sz w:val="24"/>
                <w:szCs w:val="24"/>
              </w:rPr>
              <w:fldChar w:fldCharType="end"/>
            </w:r>
            <w:r>
              <w:rPr>
                <w:lang w:val="fr-FR"/>
              </w:rPr>
              <w:t xml:space="preserve"> of</w:t>
            </w:r>
            <w:r w:rsidRPr="00AD242B">
              <w:rPr>
                <w:lang w:val="fr-FR"/>
              </w:rPr>
              <w:t xml:space="preserve"> </w:t>
            </w:r>
            <w:r w:rsidRPr="00AD242B">
              <w:rPr>
                <w:bCs/>
                <w:sz w:val="24"/>
                <w:szCs w:val="24"/>
              </w:rPr>
              <w:fldChar w:fldCharType="begin"/>
            </w:r>
            <w:r w:rsidRPr="00AD242B">
              <w:rPr>
                <w:bCs/>
              </w:rPr>
              <w:instrText>NUMPAGES</w:instrText>
            </w:r>
            <w:r w:rsidRPr="00AD242B">
              <w:rPr>
                <w:bCs/>
                <w:sz w:val="24"/>
                <w:szCs w:val="24"/>
              </w:rPr>
              <w:fldChar w:fldCharType="separate"/>
            </w:r>
            <w:r w:rsidR="00A26EB2">
              <w:rPr>
                <w:bCs/>
                <w:noProof/>
              </w:rPr>
              <w:t>4</w:t>
            </w:r>
            <w:r w:rsidRPr="00AD242B">
              <w:rPr>
                <w:bCs/>
                <w:sz w:val="24"/>
                <w:szCs w:val="24"/>
              </w:rPr>
              <w:fldChar w:fldCharType="end"/>
            </w:r>
          </w:p>
        </w:sdtContent>
      </w:sdt>
    </w:sdtContent>
  </w:sdt>
  <w:p w:rsidR="00C2029E" w:rsidRDefault="00C202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B2" w:rsidRDefault="00A2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5F" w:rsidRDefault="00A3085F" w:rsidP="00660B29">
      <w:r>
        <w:separator/>
      </w:r>
    </w:p>
  </w:footnote>
  <w:footnote w:type="continuationSeparator" w:id="0">
    <w:p w:rsidR="00A3085F" w:rsidRDefault="00A3085F" w:rsidP="00660B29">
      <w:r>
        <w:continuationSeparator/>
      </w:r>
    </w:p>
  </w:footnote>
  <w:footnote w:id="1">
    <w:p w:rsidR="00D41C4E" w:rsidRPr="00D41C4E" w:rsidRDefault="00D41C4E">
      <w:pPr>
        <w:pStyle w:val="FootnoteText"/>
      </w:pPr>
      <w:r>
        <w:rPr>
          <w:rStyle w:val="FootnoteReference"/>
        </w:rPr>
        <w:footnoteRef/>
      </w:r>
      <w:r>
        <w:t xml:space="preserve"> </w:t>
      </w:r>
      <w:r w:rsidR="00176978">
        <w:rPr>
          <w:lang w:val="en-US"/>
        </w:rPr>
        <w:t>To simplify the notation</w:t>
      </w:r>
      <w:r>
        <w:rPr>
          <w:lang w:val="en-US"/>
        </w:rPr>
        <w:t>, air-</w:t>
      </w:r>
      <w:r w:rsidRPr="00E54A12">
        <w:rPr>
          <w:lang w:val="en-US"/>
        </w:rPr>
        <w:t>kerma rate is denoted by</w:t>
      </w:r>
      <w:r>
        <w:rPr>
          <w:lang w:val="en-US"/>
        </w:rPr>
        <w:t xml:space="preserve"> </w:t>
      </w:r>
      <w:r w:rsidRPr="00B077D7">
        <w:rPr>
          <w:i/>
          <w:lang w:val="en-US"/>
        </w:rPr>
        <w:t>K</w:t>
      </w:r>
      <w:r>
        <w:rPr>
          <w:lang w:val="en-US"/>
        </w:rPr>
        <w:t xml:space="preserve"> without a dot above.</w:t>
      </w:r>
    </w:p>
  </w:footnote>
  <w:footnote w:id="2">
    <w:p w:rsidR="00ED5A74" w:rsidRPr="00ED5A74" w:rsidRDefault="00ED5A74" w:rsidP="00ED5A74">
      <w:pPr>
        <w:pStyle w:val="FootnoteText"/>
        <w:rPr>
          <w:lang w:val="en-US"/>
        </w:rPr>
      </w:pPr>
      <w:r>
        <w:rPr>
          <w:rStyle w:val="FootnoteReference"/>
        </w:rPr>
        <w:footnoteRef/>
      </w:r>
      <w:r>
        <w:t xml:space="preserve"> For </w:t>
      </w:r>
      <w:r w:rsidR="00DF106C">
        <w:t>ease of presentation</w:t>
      </w:r>
      <w:r>
        <w:t xml:space="preserve">, </w:t>
      </w:r>
      <w:r>
        <w:rPr>
          <w:lang w:val="en-US"/>
        </w:rPr>
        <w:t xml:space="preserve">equations </w:t>
      </w:r>
      <w:r w:rsidRPr="00ED5A74">
        <w:rPr>
          <w:lang w:val="en-US"/>
        </w:rPr>
        <w:t>are e</w:t>
      </w:r>
      <w:r>
        <w:rPr>
          <w:lang w:val="en-US"/>
        </w:rPr>
        <w:t xml:space="preserve">xpressed as variances while </w:t>
      </w:r>
      <w:r w:rsidRPr="00ED5A74">
        <w:rPr>
          <w:lang w:val="en-US"/>
        </w:rPr>
        <w:t>the</w:t>
      </w:r>
      <w:r>
        <w:rPr>
          <w:lang w:val="en-US"/>
        </w:rPr>
        <w:t xml:space="preserve"> text refers to standard uncertainties.</w:t>
      </w:r>
    </w:p>
  </w:footnote>
  <w:footnote w:id="3">
    <w:p w:rsidR="0068389E" w:rsidRPr="0068389E" w:rsidRDefault="0068389E">
      <w:pPr>
        <w:pStyle w:val="FootnoteText"/>
      </w:pPr>
      <w:r>
        <w:rPr>
          <w:rStyle w:val="FootnoteReference"/>
        </w:rPr>
        <w:footnoteRef/>
      </w:r>
      <w:r>
        <w:t xml:space="preserve"> The term ‘statistical’ is used to refer to those uncertainty components that result in variations for repeat measurements using a transfer chamber, and ‘non-statistical’ to those that are not revealed by repeat measurements. This classification does not necessarily correspond to that supplied by each laboratory as Type A and Type B components.</w:t>
      </w:r>
    </w:p>
  </w:footnote>
  <w:footnote w:id="4">
    <w:p w:rsidR="00CA49B5" w:rsidRPr="00CA49B5" w:rsidRDefault="00CA49B5">
      <w:pPr>
        <w:pStyle w:val="FootnoteText"/>
      </w:pPr>
      <w:r>
        <w:rPr>
          <w:rStyle w:val="FootnoteReference"/>
        </w:rPr>
        <w:footnoteRef/>
      </w:r>
      <w:r>
        <w:t xml:space="preserve"> </w:t>
      </w:r>
      <w:r>
        <w:rPr>
          <w:lang w:val="en-US"/>
        </w:rPr>
        <w:t>It can be shown empirically that the term (</w:t>
      </w:r>
      <w:r>
        <w:rPr>
          <w:i/>
          <w:lang w:val="en-US"/>
        </w:rPr>
        <w:t>m</w:t>
      </w:r>
      <w:r w:rsidRPr="00996825">
        <w:rPr>
          <w:lang w:val="en-US"/>
        </w:rPr>
        <w:t xml:space="preserve">–1.4) </w:t>
      </w:r>
      <w:r>
        <w:rPr>
          <w:lang w:val="en-US"/>
        </w:rPr>
        <w:t>in the denominator is a better choice than (</w:t>
      </w:r>
      <w:r>
        <w:rPr>
          <w:i/>
          <w:lang w:val="en-US"/>
        </w:rPr>
        <w:t>m</w:t>
      </w:r>
      <w:r w:rsidRPr="00996825">
        <w:rPr>
          <w:lang w:val="en-US"/>
        </w:rPr>
        <w:t>–1) to estimate the standard</w:t>
      </w:r>
      <w:r>
        <w:rPr>
          <w:lang w:val="en-US"/>
        </w:rPr>
        <w:t xml:space="preserve"> deviation for low values of </w:t>
      </w:r>
      <w:r>
        <w:rPr>
          <w:i/>
          <w:lang w:val="en-US"/>
        </w:rPr>
        <w:t>m</w:t>
      </w:r>
      <w:r w:rsidR="00732026">
        <w:rPr>
          <w:lang w:val="en-US"/>
        </w:rPr>
        <w:t xml:space="preserve">, including </w:t>
      </w:r>
      <w:r w:rsidR="00732026" w:rsidRPr="00732026">
        <w:rPr>
          <w:i/>
          <w:lang w:val="en-US"/>
        </w:rPr>
        <w:t>m</w:t>
      </w:r>
      <w:r w:rsidR="00732026">
        <w:rPr>
          <w:lang w:val="en-US"/>
        </w:rPr>
        <w:t> =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B2" w:rsidRDefault="00A26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BF" w:rsidRPr="00976CBF" w:rsidRDefault="00A26EB2" w:rsidP="00976CBF">
    <w:pPr>
      <w:pStyle w:val="Header"/>
      <w:jc w:val="right"/>
      <w:rPr>
        <w:sz w:val="22"/>
        <w:szCs w:val="22"/>
      </w:rPr>
    </w:pPr>
    <w:r>
      <w:rPr>
        <w:sz w:val="22"/>
        <w:szCs w:val="22"/>
      </w:rPr>
      <w:t xml:space="preserve">CCRI(I)/17-09   </w:t>
    </w:r>
    <w:bookmarkStart w:id="0" w:name="_GoBack"/>
    <w:bookmarkEnd w:id="0"/>
    <w:r w:rsidR="00833487">
      <w:rPr>
        <w:sz w:val="22"/>
        <w:szCs w:val="22"/>
      </w:rPr>
      <w:t xml:space="preserve"> Draft </w:t>
    </w:r>
    <w:r w:rsidR="00176978">
      <w:rPr>
        <w:sz w:val="22"/>
        <w:szCs w:val="22"/>
      </w:rPr>
      <w:t>V6</w:t>
    </w:r>
    <w:r w:rsidR="00391CAA">
      <w:rPr>
        <w:sz w:val="22"/>
        <w:szCs w:val="22"/>
      </w:rPr>
      <w:t xml:space="preserve"> </w:t>
    </w:r>
    <w:r w:rsidR="00176978">
      <w:rPr>
        <w:sz w:val="22"/>
        <w:szCs w:val="22"/>
      </w:rPr>
      <w:t>2017-05-09</w:t>
    </w:r>
  </w:p>
  <w:p w:rsidR="00976CBF" w:rsidRDefault="00976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EB2" w:rsidRDefault="00A26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06D42"/>
    <w:multiLevelType w:val="singleLevel"/>
    <w:tmpl w:val="B03C6EF6"/>
    <w:lvl w:ilvl="0">
      <w:start w:val="1"/>
      <w:numFmt w:val="lowerRoman"/>
      <w:lvlText w:val="(%1)"/>
      <w:lvlJc w:val="left"/>
      <w:pPr>
        <w:tabs>
          <w:tab w:val="num" w:pos="720"/>
        </w:tabs>
        <w:ind w:left="720" w:hanging="720"/>
      </w:pPr>
      <w:rPr>
        <w:rFonts w:hint="default"/>
      </w:rPr>
    </w:lvl>
  </w:abstractNum>
  <w:abstractNum w:abstractNumId="1">
    <w:nsid w:val="55B25EA7"/>
    <w:multiLevelType w:val="hybridMultilevel"/>
    <w:tmpl w:val="6406BBC0"/>
    <w:lvl w:ilvl="0" w:tplc="BF1E945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2E4B08"/>
    <w:multiLevelType w:val="hybridMultilevel"/>
    <w:tmpl w:val="9380165A"/>
    <w:lvl w:ilvl="0" w:tplc="D0F60B02">
      <w:start w:val="1"/>
      <w:numFmt w:val="decimal"/>
      <w:lvlText w:val="(%1)"/>
      <w:lvlJc w:val="left"/>
      <w:pPr>
        <w:ind w:left="8148" w:hanging="360"/>
      </w:pPr>
      <w:rPr>
        <w:rFonts w:hint="default"/>
      </w:rPr>
    </w:lvl>
    <w:lvl w:ilvl="1" w:tplc="040C0019" w:tentative="1">
      <w:start w:val="1"/>
      <w:numFmt w:val="lowerLetter"/>
      <w:lvlText w:val="%2."/>
      <w:lvlJc w:val="left"/>
      <w:pPr>
        <w:ind w:left="8868" w:hanging="360"/>
      </w:pPr>
    </w:lvl>
    <w:lvl w:ilvl="2" w:tplc="040C001B" w:tentative="1">
      <w:start w:val="1"/>
      <w:numFmt w:val="lowerRoman"/>
      <w:lvlText w:val="%3."/>
      <w:lvlJc w:val="right"/>
      <w:pPr>
        <w:ind w:left="9588" w:hanging="180"/>
      </w:pPr>
    </w:lvl>
    <w:lvl w:ilvl="3" w:tplc="040C000F" w:tentative="1">
      <w:start w:val="1"/>
      <w:numFmt w:val="decimal"/>
      <w:lvlText w:val="%4."/>
      <w:lvlJc w:val="left"/>
      <w:pPr>
        <w:ind w:left="10308" w:hanging="360"/>
      </w:pPr>
    </w:lvl>
    <w:lvl w:ilvl="4" w:tplc="040C0019" w:tentative="1">
      <w:start w:val="1"/>
      <w:numFmt w:val="lowerLetter"/>
      <w:lvlText w:val="%5."/>
      <w:lvlJc w:val="left"/>
      <w:pPr>
        <w:ind w:left="11028" w:hanging="360"/>
      </w:pPr>
    </w:lvl>
    <w:lvl w:ilvl="5" w:tplc="040C001B" w:tentative="1">
      <w:start w:val="1"/>
      <w:numFmt w:val="lowerRoman"/>
      <w:lvlText w:val="%6."/>
      <w:lvlJc w:val="right"/>
      <w:pPr>
        <w:ind w:left="11748" w:hanging="180"/>
      </w:pPr>
    </w:lvl>
    <w:lvl w:ilvl="6" w:tplc="040C000F" w:tentative="1">
      <w:start w:val="1"/>
      <w:numFmt w:val="decimal"/>
      <w:lvlText w:val="%7."/>
      <w:lvlJc w:val="left"/>
      <w:pPr>
        <w:ind w:left="12468" w:hanging="360"/>
      </w:pPr>
    </w:lvl>
    <w:lvl w:ilvl="7" w:tplc="040C0019" w:tentative="1">
      <w:start w:val="1"/>
      <w:numFmt w:val="lowerLetter"/>
      <w:lvlText w:val="%8."/>
      <w:lvlJc w:val="left"/>
      <w:pPr>
        <w:ind w:left="13188" w:hanging="360"/>
      </w:pPr>
    </w:lvl>
    <w:lvl w:ilvl="8" w:tplc="040C001B" w:tentative="1">
      <w:start w:val="1"/>
      <w:numFmt w:val="lowerRoman"/>
      <w:lvlText w:val="%9."/>
      <w:lvlJc w:val="right"/>
      <w:pPr>
        <w:ind w:left="1390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42"/>
    <w:rsid w:val="000116B5"/>
    <w:rsid w:val="00013C75"/>
    <w:rsid w:val="00020F27"/>
    <w:rsid w:val="00036068"/>
    <w:rsid w:val="000519AA"/>
    <w:rsid w:val="00052B7E"/>
    <w:rsid w:val="000617E7"/>
    <w:rsid w:val="00065C0B"/>
    <w:rsid w:val="00070134"/>
    <w:rsid w:val="0007120E"/>
    <w:rsid w:val="000725A6"/>
    <w:rsid w:val="000812F9"/>
    <w:rsid w:val="0009068A"/>
    <w:rsid w:val="00097A7A"/>
    <w:rsid w:val="000A4CA5"/>
    <w:rsid w:val="000A53DF"/>
    <w:rsid w:val="000C18AA"/>
    <w:rsid w:val="000C5014"/>
    <w:rsid w:val="000D4912"/>
    <w:rsid w:val="00113B88"/>
    <w:rsid w:val="00125341"/>
    <w:rsid w:val="00125801"/>
    <w:rsid w:val="00125EB8"/>
    <w:rsid w:val="0013094F"/>
    <w:rsid w:val="00150C4B"/>
    <w:rsid w:val="00151363"/>
    <w:rsid w:val="00166FAB"/>
    <w:rsid w:val="001702A8"/>
    <w:rsid w:val="001761E2"/>
    <w:rsid w:val="00176978"/>
    <w:rsid w:val="0018032C"/>
    <w:rsid w:val="0018073C"/>
    <w:rsid w:val="001B4D85"/>
    <w:rsid w:val="001C10FC"/>
    <w:rsid w:val="001E0A50"/>
    <w:rsid w:val="00226143"/>
    <w:rsid w:val="00256ADB"/>
    <w:rsid w:val="00256EAE"/>
    <w:rsid w:val="00281BDD"/>
    <w:rsid w:val="002B39F1"/>
    <w:rsid w:val="002C4164"/>
    <w:rsid w:val="002E2401"/>
    <w:rsid w:val="002E4A8D"/>
    <w:rsid w:val="002F0AD5"/>
    <w:rsid w:val="002F5715"/>
    <w:rsid w:val="003007B6"/>
    <w:rsid w:val="00324A75"/>
    <w:rsid w:val="00335061"/>
    <w:rsid w:val="00340C9B"/>
    <w:rsid w:val="00385CAC"/>
    <w:rsid w:val="00386AC5"/>
    <w:rsid w:val="00391CAA"/>
    <w:rsid w:val="003A0CE0"/>
    <w:rsid w:val="003A1074"/>
    <w:rsid w:val="003C09A3"/>
    <w:rsid w:val="003D1070"/>
    <w:rsid w:val="003D6DBC"/>
    <w:rsid w:val="003E5927"/>
    <w:rsid w:val="004254D2"/>
    <w:rsid w:val="004422C2"/>
    <w:rsid w:val="0047515A"/>
    <w:rsid w:val="00482A8B"/>
    <w:rsid w:val="004935D8"/>
    <w:rsid w:val="004976AE"/>
    <w:rsid w:val="004A0935"/>
    <w:rsid w:val="004A0E9D"/>
    <w:rsid w:val="004B6E8B"/>
    <w:rsid w:val="004C7784"/>
    <w:rsid w:val="004D3185"/>
    <w:rsid w:val="004E62D8"/>
    <w:rsid w:val="00532C6A"/>
    <w:rsid w:val="00537D8C"/>
    <w:rsid w:val="005561DC"/>
    <w:rsid w:val="00556A80"/>
    <w:rsid w:val="005A1521"/>
    <w:rsid w:val="005D67C3"/>
    <w:rsid w:val="005D682F"/>
    <w:rsid w:val="005E35BC"/>
    <w:rsid w:val="00625818"/>
    <w:rsid w:val="00640174"/>
    <w:rsid w:val="00657C4F"/>
    <w:rsid w:val="00660B29"/>
    <w:rsid w:val="0068389E"/>
    <w:rsid w:val="00693802"/>
    <w:rsid w:val="006B6D06"/>
    <w:rsid w:val="006B7938"/>
    <w:rsid w:val="006C0CB8"/>
    <w:rsid w:val="006E04C6"/>
    <w:rsid w:val="007202EC"/>
    <w:rsid w:val="00732026"/>
    <w:rsid w:val="00740366"/>
    <w:rsid w:val="00765A1B"/>
    <w:rsid w:val="00780577"/>
    <w:rsid w:val="0078084A"/>
    <w:rsid w:val="00783EDB"/>
    <w:rsid w:val="007976CC"/>
    <w:rsid w:val="007A25D2"/>
    <w:rsid w:val="007A4ABA"/>
    <w:rsid w:val="007A4E67"/>
    <w:rsid w:val="007C2A5A"/>
    <w:rsid w:val="007D2E3B"/>
    <w:rsid w:val="007D6331"/>
    <w:rsid w:val="007E6756"/>
    <w:rsid w:val="007F02F1"/>
    <w:rsid w:val="008009D5"/>
    <w:rsid w:val="008071BF"/>
    <w:rsid w:val="00815B21"/>
    <w:rsid w:val="008235E4"/>
    <w:rsid w:val="00823C64"/>
    <w:rsid w:val="00833487"/>
    <w:rsid w:val="00851404"/>
    <w:rsid w:val="00854EA1"/>
    <w:rsid w:val="00864317"/>
    <w:rsid w:val="00873E1C"/>
    <w:rsid w:val="008838E7"/>
    <w:rsid w:val="008A00A6"/>
    <w:rsid w:val="008A08E3"/>
    <w:rsid w:val="008B1BCC"/>
    <w:rsid w:val="008C6253"/>
    <w:rsid w:val="00912B28"/>
    <w:rsid w:val="00914361"/>
    <w:rsid w:val="009409D9"/>
    <w:rsid w:val="009411F8"/>
    <w:rsid w:val="00952C4D"/>
    <w:rsid w:val="00954F5D"/>
    <w:rsid w:val="00976CBF"/>
    <w:rsid w:val="00986470"/>
    <w:rsid w:val="00996825"/>
    <w:rsid w:val="009A6963"/>
    <w:rsid w:val="009C5267"/>
    <w:rsid w:val="009F773D"/>
    <w:rsid w:val="00A04395"/>
    <w:rsid w:val="00A17CE0"/>
    <w:rsid w:val="00A20D19"/>
    <w:rsid w:val="00A26EB2"/>
    <w:rsid w:val="00A3085F"/>
    <w:rsid w:val="00A5080B"/>
    <w:rsid w:val="00A549E9"/>
    <w:rsid w:val="00A54EFA"/>
    <w:rsid w:val="00A91488"/>
    <w:rsid w:val="00AA7B70"/>
    <w:rsid w:val="00AB6D16"/>
    <w:rsid w:val="00AB7800"/>
    <w:rsid w:val="00AD1567"/>
    <w:rsid w:val="00AD1F74"/>
    <w:rsid w:val="00AD242B"/>
    <w:rsid w:val="00AD6B94"/>
    <w:rsid w:val="00B077D7"/>
    <w:rsid w:val="00B25B1B"/>
    <w:rsid w:val="00B27F2C"/>
    <w:rsid w:val="00B35828"/>
    <w:rsid w:val="00B46C4A"/>
    <w:rsid w:val="00B52027"/>
    <w:rsid w:val="00B52C53"/>
    <w:rsid w:val="00B976A0"/>
    <w:rsid w:val="00BC37C7"/>
    <w:rsid w:val="00BC7ECD"/>
    <w:rsid w:val="00BE3834"/>
    <w:rsid w:val="00BF4325"/>
    <w:rsid w:val="00C0068C"/>
    <w:rsid w:val="00C2029E"/>
    <w:rsid w:val="00C57777"/>
    <w:rsid w:val="00C64256"/>
    <w:rsid w:val="00C66F92"/>
    <w:rsid w:val="00C81719"/>
    <w:rsid w:val="00C82C18"/>
    <w:rsid w:val="00C94A15"/>
    <w:rsid w:val="00C9534A"/>
    <w:rsid w:val="00CA49B5"/>
    <w:rsid w:val="00CE0795"/>
    <w:rsid w:val="00D03AA2"/>
    <w:rsid w:val="00D05D87"/>
    <w:rsid w:val="00D35DEE"/>
    <w:rsid w:val="00D41C4E"/>
    <w:rsid w:val="00D4485D"/>
    <w:rsid w:val="00D72530"/>
    <w:rsid w:val="00D80B93"/>
    <w:rsid w:val="00DD1804"/>
    <w:rsid w:val="00DF106C"/>
    <w:rsid w:val="00E046D5"/>
    <w:rsid w:val="00E10545"/>
    <w:rsid w:val="00E14045"/>
    <w:rsid w:val="00E52DA8"/>
    <w:rsid w:val="00E54A12"/>
    <w:rsid w:val="00E57387"/>
    <w:rsid w:val="00E81C34"/>
    <w:rsid w:val="00EB5083"/>
    <w:rsid w:val="00EC340C"/>
    <w:rsid w:val="00ED2703"/>
    <w:rsid w:val="00ED2EB2"/>
    <w:rsid w:val="00ED5A74"/>
    <w:rsid w:val="00EF5F16"/>
    <w:rsid w:val="00F04842"/>
    <w:rsid w:val="00F24D2D"/>
    <w:rsid w:val="00F25A25"/>
    <w:rsid w:val="00F34AA1"/>
    <w:rsid w:val="00F36A3D"/>
    <w:rsid w:val="00F65B16"/>
    <w:rsid w:val="00FC303C"/>
    <w:rsid w:val="00FE1679"/>
    <w:rsid w:val="00FF1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120" w:line="300" w:lineRule="exac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line="300" w:lineRule="exact"/>
    </w:pPr>
    <w:rPr>
      <w:sz w:val="24"/>
    </w:rPr>
  </w:style>
  <w:style w:type="character" w:styleId="PlaceholderText">
    <w:name w:val="Placeholder Text"/>
    <w:basedOn w:val="DefaultParagraphFont"/>
    <w:uiPriority w:val="99"/>
    <w:semiHidden/>
    <w:rsid w:val="00E14045"/>
    <w:rPr>
      <w:color w:val="808080"/>
    </w:rPr>
  </w:style>
  <w:style w:type="paragraph" w:styleId="BalloonText">
    <w:name w:val="Balloon Text"/>
    <w:basedOn w:val="Normal"/>
    <w:link w:val="BalloonTextChar"/>
    <w:uiPriority w:val="99"/>
    <w:semiHidden/>
    <w:unhideWhenUsed/>
    <w:rsid w:val="00E14045"/>
    <w:rPr>
      <w:rFonts w:ascii="Tahoma" w:hAnsi="Tahoma" w:cs="Tahoma"/>
      <w:sz w:val="16"/>
      <w:szCs w:val="16"/>
    </w:rPr>
  </w:style>
  <w:style w:type="character" w:customStyle="1" w:styleId="BalloonTextChar">
    <w:name w:val="Balloon Text Char"/>
    <w:basedOn w:val="DefaultParagraphFont"/>
    <w:link w:val="BalloonText"/>
    <w:uiPriority w:val="99"/>
    <w:semiHidden/>
    <w:rsid w:val="00E14045"/>
    <w:rPr>
      <w:rFonts w:ascii="Tahoma" w:hAnsi="Tahoma" w:cs="Tahoma"/>
      <w:sz w:val="16"/>
      <w:szCs w:val="16"/>
      <w:lang w:val="en-GB"/>
    </w:rPr>
  </w:style>
  <w:style w:type="paragraph" w:styleId="ListParagraph">
    <w:name w:val="List Paragraph"/>
    <w:basedOn w:val="Normal"/>
    <w:uiPriority w:val="34"/>
    <w:qFormat/>
    <w:rsid w:val="00C0068C"/>
    <w:pPr>
      <w:ind w:left="720"/>
      <w:contextualSpacing/>
    </w:pPr>
  </w:style>
  <w:style w:type="paragraph" w:styleId="Header">
    <w:name w:val="header"/>
    <w:basedOn w:val="Normal"/>
    <w:link w:val="HeaderChar"/>
    <w:uiPriority w:val="99"/>
    <w:unhideWhenUsed/>
    <w:rsid w:val="00660B29"/>
    <w:pPr>
      <w:tabs>
        <w:tab w:val="center" w:pos="4536"/>
        <w:tab w:val="right" w:pos="9072"/>
      </w:tabs>
    </w:pPr>
  </w:style>
  <w:style w:type="character" w:customStyle="1" w:styleId="HeaderChar">
    <w:name w:val="Header Char"/>
    <w:basedOn w:val="DefaultParagraphFont"/>
    <w:link w:val="Header"/>
    <w:uiPriority w:val="99"/>
    <w:rsid w:val="00660B29"/>
    <w:rPr>
      <w:lang w:val="en-GB"/>
    </w:rPr>
  </w:style>
  <w:style w:type="paragraph" w:styleId="Footer">
    <w:name w:val="footer"/>
    <w:basedOn w:val="Normal"/>
    <w:link w:val="FooterChar"/>
    <w:uiPriority w:val="99"/>
    <w:unhideWhenUsed/>
    <w:rsid w:val="00660B29"/>
    <w:pPr>
      <w:tabs>
        <w:tab w:val="center" w:pos="4536"/>
        <w:tab w:val="right" w:pos="9072"/>
      </w:tabs>
    </w:pPr>
  </w:style>
  <w:style w:type="character" w:customStyle="1" w:styleId="FooterChar">
    <w:name w:val="Footer Char"/>
    <w:basedOn w:val="DefaultParagraphFont"/>
    <w:link w:val="Footer"/>
    <w:uiPriority w:val="99"/>
    <w:rsid w:val="00660B29"/>
    <w:rPr>
      <w:lang w:val="en-GB"/>
    </w:rPr>
  </w:style>
  <w:style w:type="paragraph" w:styleId="FootnoteText">
    <w:name w:val="footnote text"/>
    <w:basedOn w:val="Normal"/>
    <w:link w:val="FootnoteTextChar"/>
    <w:uiPriority w:val="99"/>
    <w:semiHidden/>
    <w:unhideWhenUsed/>
    <w:rsid w:val="00660B29"/>
  </w:style>
  <w:style w:type="character" w:customStyle="1" w:styleId="FootnoteTextChar">
    <w:name w:val="Footnote Text Char"/>
    <w:basedOn w:val="DefaultParagraphFont"/>
    <w:link w:val="FootnoteText"/>
    <w:uiPriority w:val="99"/>
    <w:semiHidden/>
    <w:rsid w:val="00660B29"/>
    <w:rPr>
      <w:lang w:val="en-GB"/>
    </w:rPr>
  </w:style>
  <w:style w:type="character" w:styleId="FootnoteReference">
    <w:name w:val="footnote reference"/>
    <w:basedOn w:val="DefaultParagraphFont"/>
    <w:uiPriority w:val="99"/>
    <w:semiHidden/>
    <w:unhideWhenUsed/>
    <w:rsid w:val="00660B29"/>
    <w:rPr>
      <w:vertAlign w:val="superscript"/>
    </w:rPr>
  </w:style>
  <w:style w:type="character" w:styleId="CommentReference">
    <w:name w:val="annotation reference"/>
    <w:basedOn w:val="DefaultParagraphFont"/>
    <w:uiPriority w:val="99"/>
    <w:semiHidden/>
    <w:unhideWhenUsed/>
    <w:rsid w:val="00C81719"/>
    <w:rPr>
      <w:sz w:val="16"/>
      <w:szCs w:val="16"/>
    </w:rPr>
  </w:style>
  <w:style w:type="paragraph" w:styleId="CommentText">
    <w:name w:val="annotation text"/>
    <w:basedOn w:val="Normal"/>
    <w:link w:val="CommentTextChar"/>
    <w:uiPriority w:val="99"/>
    <w:unhideWhenUsed/>
    <w:rsid w:val="00C81719"/>
  </w:style>
  <w:style w:type="character" w:customStyle="1" w:styleId="CommentTextChar">
    <w:name w:val="Comment Text Char"/>
    <w:basedOn w:val="DefaultParagraphFont"/>
    <w:link w:val="CommentText"/>
    <w:uiPriority w:val="99"/>
    <w:rsid w:val="00C81719"/>
    <w:rPr>
      <w:lang w:val="en-GB"/>
    </w:rPr>
  </w:style>
  <w:style w:type="paragraph" w:styleId="CommentSubject">
    <w:name w:val="annotation subject"/>
    <w:basedOn w:val="CommentText"/>
    <w:next w:val="CommentText"/>
    <w:link w:val="CommentSubjectChar"/>
    <w:uiPriority w:val="99"/>
    <w:semiHidden/>
    <w:unhideWhenUsed/>
    <w:rsid w:val="00C81719"/>
    <w:rPr>
      <w:b/>
      <w:bCs/>
    </w:rPr>
  </w:style>
  <w:style w:type="character" w:customStyle="1" w:styleId="CommentSubjectChar">
    <w:name w:val="Comment Subject Char"/>
    <w:basedOn w:val="CommentTextChar"/>
    <w:link w:val="CommentSubject"/>
    <w:uiPriority w:val="99"/>
    <w:semiHidden/>
    <w:rsid w:val="00C81719"/>
    <w:rPr>
      <w:b/>
      <w:bCs/>
      <w:lang w:val="en-GB"/>
    </w:rPr>
  </w:style>
  <w:style w:type="table" w:styleId="TableGrid">
    <w:name w:val="Table Grid"/>
    <w:basedOn w:val="TableNormal"/>
    <w:uiPriority w:val="59"/>
    <w:rsid w:val="00B2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120" w:line="300" w:lineRule="exac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line="300" w:lineRule="exact"/>
    </w:pPr>
    <w:rPr>
      <w:sz w:val="24"/>
    </w:rPr>
  </w:style>
  <w:style w:type="character" w:styleId="PlaceholderText">
    <w:name w:val="Placeholder Text"/>
    <w:basedOn w:val="DefaultParagraphFont"/>
    <w:uiPriority w:val="99"/>
    <w:semiHidden/>
    <w:rsid w:val="00E14045"/>
    <w:rPr>
      <w:color w:val="808080"/>
    </w:rPr>
  </w:style>
  <w:style w:type="paragraph" w:styleId="BalloonText">
    <w:name w:val="Balloon Text"/>
    <w:basedOn w:val="Normal"/>
    <w:link w:val="BalloonTextChar"/>
    <w:uiPriority w:val="99"/>
    <w:semiHidden/>
    <w:unhideWhenUsed/>
    <w:rsid w:val="00E14045"/>
    <w:rPr>
      <w:rFonts w:ascii="Tahoma" w:hAnsi="Tahoma" w:cs="Tahoma"/>
      <w:sz w:val="16"/>
      <w:szCs w:val="16"/>
    </w:rPr>
  </w:style>
  <w:style w:type="character" w:customStyle="1" w:styleId="BalloonTextChar">
    <w:name w:val="Balloon Text Char"/>
    <w:basedOn w:val="DefaultParagraphFont"/>
    <w:link w:val="BalloonText"/>
    <w:uiPriority w:val="99"/>
    <w:semiHidden/>
    <w:rsid w:val="00E14045"/>
    <w:rPr>
      <w:rFonts w:ascii="Tahoma" w:hAnsi="Tahoma" w:cs="Tahoma"/>
      <w:sz w:val="16"/>
      <w:szCs w:val="16"/>
      <w:lang w:val="en-GB"/>
    </w:rPr>
  </w:style>
  <w:style w:type="paragraph" w:styleId="ListParagraph">
    <w:name w:val="List Paragraph"/>
    <w:basedOn w:val="Normal"/>
    <w:uiPriority w:val="34"/>
    <w:qFormat/>
    <w:rsid w:val="00C0068C"/>
    <w:pPr>
      <w:ind w:left="720"/>
      <w:contextualSpacing/>
    </w:pPr>
  </w:style>
  <w:style w:type="paragraph" w:styleId="Header">
    <w:name w:val="header"/>
    <w:basedOn w:val="Normal"/>
    <w:link w:val="HeaderChar"/>
    <w:uiPriority w:val="99"/>
    <w:unhideWhenUsed/>
    <w:rsid w:val="00660B29"/>
    <w:pPr>
      <w:tabs>
        <w:tab w:val="center" w:pos="4536"/>
        <w:tab w:val="right" w:pos="9072"/>
      </w:tabs>
    </w:pPr>
  </w:style>
  <w:style w:type="character" w:customStyle="1" w:styleId="HeaderChar">
    <w:name w:val="Header Char"/>
    <w:basedOn w:val="DefaultParagraphFont"/>
    <w:link w:val="Header"/>
    <w:uiPriority w:val="99"/>
    <w:rsid w:val="00660B29"/>
    <w:rPr>
      <w:lang w:val="en-GB"/>
    </w:rPr>
  </w:style>
  <w:style w:type="paragraph" w:styleId="Footer">
    <w:name w:val="footer"/>
    <w:basedOn w:val="Normal"/>
    <w:link w:val="FooterChar"/>
    <w:uiPriority w:val="99"/>
    <w:unhideWhenUsed/>
    <w:rsid w:val="00660B29"/>
    <w:pPr>
      <w:tabs>
        <w:tab w:val="center" w:pos="4536"/>
        <w:tab w:val="right" w:pos="9072"/>
      </w:tabs>
    </w:pPr>
  </w:style>
  <w:style w:type="character" w:customStyle="1" w:styleId="FooterChar">
    <w:name w:val="Footer Char"/>
    <w:basedOn w:val="DefaultParagraphFont"/>
    <w:link w:val="Footer"/>
    <w:uiPriority w:val="99"/>
    <w:rsid w:val="00660B29"/>
    <w:rPr>
      <w:lang w:val="en-GB"/>
    </w:rPr>
  </w:style>
  <w:style w:type="paragraph" w:styleId="FootnoteText">
    <w:name w:val="footnote text"/>
    <w:basedOn w:val="Normal"/>
    <w:link w:val="FootnoteTextChar"/>
    <w:uiPriority w:val="99"/>
    <w:semiHidden/>
    <w:unhideWhenUsed/>
    <w:rsid w:val="00660B29"/>
  </w:style>
  <w:style w:type="character" w:customStyle="1" w:styleId="FootnoteTextChar">
    <w:name w:val="Footnote Text Char"/>
    <w:basedOn w:val="DefaultParagraphFont"/>
    <w:link w:val="FootnoteText"/>
    <w:uiPriority w:val="99"/>
    <w:semiHidden/>
    <w:rsid w:val="00660B29"/>
    <w:rPr>
      <w:lang w:val="en-GB"/>
    </w:rPr>
  </w:style>
  <w:style w:type="character" w:styleId="FootnoteReference">
    <w:name w:val="footnote reference"/>
    <w:basedOn w:val="DefaultParagraphFont"/>
    <w:uiPriority w:val="99"/>
    <w:semiHidden/>
    <w:unhideWhenUsed/>
    <w:rsid w:val="00660B29"/>
    <w:rPr>
      <w:vertAlign w:val="superscript"/>
    </w:rPr>
  </w:style>
  <w:style w:type="character" w:styleId="CommentReference">
    <w:name w:val="annotation reference"/>
    <w:basedOn w:val="DefaultParagraphFont"/>
    <w:uiPriority w:val="99"/>
    <w:semiHidden/>
    <w:unhideWhenUsed/>
    <w:rsid w:val="00C81719"/>
    <w:rPr>
      <w:sz w:val="16"/>
      <w:szCs w:val="16"/>
    </w:rPr>
  </w:style>
  <w:style w:type="paragraph" w:styleId="CommentText">
    <w:name w:val="annotation text"/>
    <w:basedOn w:val="Normal"/>
    <w:link w:val="CommentTextChar"/>
    <w:uiPriority w:val="99"/>
    <w:unhideWhenUsed/>
    <w:rsid w:val="00C81719"/>
  </w:style>
  <w:style w:type="character" w:customStyle="1" w:styleId="CommentTextChar">
    <w:name w:val="Comment Text Char"/>
    <w:basedOn w:val="DefaultParagraphFont"/>
    <w:link w:val="CommentText"/>
    <w:uiPriority w:val="99"/>
    <w:rsid w:val="00C81719"/>
    <w:rPr>
      <w:lang w:val="en-GB"/>
    </w:rPr>
  </w:style>
  <w:style w:type="paragraph" w:styleId="CommentSubject">
    <w:name w:val="annotation subject"/>
    <w:basedOn w:val="CommentText"/>
    <w:next w:val="CommentText"/>
    <w:link w:val="CommentSubjectChar"/>
    <w:uiPriority w:val="99"/>
    <w:semiHidden/>
    <w:unhideWhenUsed/>
    <w:rsid w:val="00C81719"/>
    <w:rPr>
      <w:b/>
      <w:bCs/>
    </w:rPr>
  </w:style>
  <w:style w:type="character" w:customStyle="1" w:styleId="CommentSubjectChar">
    <w:name w:val="Comment Subject Char"/>
    <w:basedOn w:val="CommentTextChar"/>
    <w:link w:val="CommentSubject"/>
    <w:uiPriority w:val="99"/>
    <w:semiHidden/>
    <w:rsid w:val="00C81719"/>
    <w:rPr>
      <w:b/>
      <w:bCs/>
      <w:lang w:val="en-GB"/>
    </w:rPr>
  </w:style>
  <w:style w:type="table" w:styleId="TableGrid">
    <w:name w:val="Table Grid"/>
    <w:basedOn w:val="TableNormal"/>
    <w:uiPriority w:val="59"/>
    <w:rsid w:val="00B2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C14A6-8388-48FA-9D77-BC726645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1645</Words>
  <Characters>8435</Characters>
  <Application>Microsoft Office Word</Application>
  <DocSecurity>0</DocSecurity>
  <Lines>70</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Evaluation of degrees of equivalence for a regional dosimetry comparison</vt:lpstr>
      <vt:lpstr>Evaluation of degrees of equivalence for a regional dosimetry comparison</vt:lpstr>
    </vt:vector>
  </TitlesOfParts>
  <Company>BIPM</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degrees of equivalence for a regional dosimetry comparison</dc:title>
  <dc:creator>dburns</dc:creator>
  <cp:lastModifiedBy>Jose Maria LOS ARCOS</cp:lastModifiedBy>
  <cp:revision>4</cp:revision>
  <cp:lastPrinted>2016-10-19T14:23:00Z</cp:lastPrinted>
  <dcterms:created xsi:type="dcterms:W3CDTF">2017-05-05T08:49:00Z</dcterms:created>
  <dcterms:modified xsi:type="dcterms:W3CDTF">2017-06-15T13:50:00Z</dcterms:modified>
</cp:coreProperties>
</file>