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B35" w:rsidRPr="00D12D70" w:rsidRDefault="00B67C99">
      <w:pPr>
        <w:rPr>
          <w:b/>
          <w:sz w:val="28"/>
          <w:szCs w:val="28"/>
          <w:lang w:val="en-US"/>
        </w:rPr>
      </w:pPr>
      <w:r>
        <w:rPr>
          <w:b/>
          <w:sz w:val="28"/>
          <w:szCs w:val="28"/>
          <w:lang w:val="en-US"/>
        </w:rPr>
        <w:t>New BIPM absorbed-dose standard for medium-energy x-ray</w:t>
      </w:r>
      <w:r w:rsidR="00AB6B35" w:rsidRPr="00D12D70">
        <w:rPr>
          <w:b/>
          <w:sz w:val="28"/>
          <w:szCs w:val="28"/>
          <w:lang w:val="en-US"/>
        </w:rPr>
        <w:t>s</w:t>
      </w:r>
    </w:p>
    <w:p w:rsidR="00D12D70" w:rsidRDefault="00D12D70">
      <w:pPr>
        <w:rPr>
          <w:sz w:val="24"/>
          <w:szCs w:val="24"/>
          <w:lang w:val="en-US"/>
        </w:rPr>
      </w:pPr>
      <w:r>
        <w:rPr>
          <w:sz w:val="24"/>
          <w:szCs w:val="24"/>
          <w:lang w:val="en-US"/>
        </w:rPr>
        <w:t>D Burns</w:t>
      </w:r>
      <w:r w:rsidR="00B67C99">
        <w:rPr>
          <w:sz w:val="24"/>
          <w:szCs w:val="24"/>
          <w:lang w:val="en-US"/>
        </w:rPr>
        <w:t>, C Kessler and P Roger</w:t>
      </w:r>
      <w:r>
        <w:rPr>
          <w:sz w:val="24"/>
          <w:szCs w:val="24"/>
          <w:lang w:val="en-US"/>
        </w:rPr>
        <w:t>, BIPM</w:t>
      </w:r>
    </w:p>
    <w:p w:rsidR="00FF2313" w:rsidRPr="00D12D70" w:rsidRDefault="00D12D70">
      <w:pPr>
        <w:rPr>
          <w:b/>
          <w:sz w:val="24"/>
          <w:szCs w:val="24"/>
          <w:lang w:val="en-US"/>
        </w:rPr>
      </w:pPr>
      <w:proofErr w:type="gramStart"/>
      <w:r w:rsidRPr="00D12D70">
        <w:rPr>
          <w:b/>
          <w:sz w:val="24"/>
          <w:szCs w:val="24"/>
          <w:lang w:val="en-US"/>
        </w:rPr>
        <w:t xml:space="preserve">1  </w:t>
      </w:r>
      <w:r w:rsidR="00FF2313" w:rsidRPr="00D12D70">
        <w:rPr>
          <w:b/>
          <w:sz w:val="24"/>
          <w:szCs w:val="24"/>
          <w:lang w:val="en-US"/>
        </w:rPr>
        <w:t>Introduction</w:t>
      </w:r>
      <w:proofErr w:type="gramEnd"/>
    </w:p>
    <w:p w:rsidR="00BD2F7E" w:rsidRDefault="001450C0" w:rsidP="00B67C99">
      <w:pPr>
        <w:rPr>
          <w:sz w:val="24"/>
          <w:szCs w:val="24"/>
          <w:lang w:val="en-US"/>
        </w:rPr>
      </w:pPr>
      <w:r>
        <w:rPr>
          <w:sz w:val="24"/>
          <w:szCs w:val="24"/>
          <w:lang w:val="en-US"/>
        </w:rPr>
        <w:t xml:space="preserve">A number of NMIs are now using water calorimeter standards to determined absorbed dose to water in the </w:t>
      </w:r>
      <w:r w:rsidR="00BD2F7E">
        <w:rPr>
          <w:sz w:val="24"/>
          <w:szCs w:val="24"/>
          <w:lang w:val="en-US"/>
        </w:rPr>
        <w:t xml:space="preserve">medium-energy x-ray range </w:t>
      </w:r>
      <w:r>
        <w:rPr>
          <w:sz w:val="24"/>
          <w:szCs w:val="24"/>
          <w:lang w:val="en-US"/>
        </w:rPr>
        <w:t xml:space="preserve">and there is a growing need for comparisons in this area. To provide a robust </w:t>
      </w:r>
      <w:r w:rsidR="00BF1609">
        <w:rPr>
          <w:sz w:val="24"/>
          <w:szCs w:val="24"/>
          <w:lang w:val="en-US"/>
        </w:rPr>
        <w:t xml:space="preserve">and </w:t>
      </w:r>
      <w:r w:rsidR="00BD2F7E">
        <w:rPr>
          <w:sz w:val="24"/>
          <w:szCs w:val="24"/>
          <w:lang w:val="en-US"/>
        </w:rPr>
        <w:t>stable long-term reference</w:t>
      </w:r>
      <w:r>
        <w:rPr>
          <w:sz w:val="24"/>
          <w:szCs w:val="24"/>
          <w:lang w:val="en-US"/>
        </w:rPr>
        <w:t xml:space="preserve"> the BIPM has developed an ionometric </w:t>
      </w:r>
      <w:r w:rsidR="00BD2F7E">
        <w:rPr>
          <w:sz w:val="24"/>
          <w:szCs w:val="24"/>
          <w:lang w:val="en-US"/>
        </w:rPr>
        <w:t xml:space="preserve">primary </w:t>
      </w:r>
      <w:r>
        <w:rPr>
          <w:sz w:val="24"/>
          <w:szCs w:val="24"/>
          <w:lang w:val="en-US"/>
        </w:rPr>
        <w:t>standard for absorb</w:t>
      </w:r>
      <w:r w:rsidR="005B39BB">
        <w:rPr>
          <w:sz w:val="24"/>
          <w:szCs w:val="24"/>
          <w:lang w:val="en-US"/>
        </w:rPr>
        <w:t>ed dose to water for the CCRI</w:t>
      </w:r>
      <w:r>
        <w:rPr>
          <w:sz w:val="24"/>
          <w:szCs w:val="24"/>
          <w:lang w:val="en-US"/>
        </w:rPr>
        <w:t xml:space="preserve"> reference qualities from 100 kV to 250 kV. The standard will be used to </w:t>
      </w:r>
      <w:r w:rsidR="00BD2F7E">
        <w:rPr>
          <w:sz w:val="24"/>
          <w:szCs w:val="24"/>
          <w:lang w:val="en-US"/>
        </w:rPr>
        <w:t>make indirect comparisons of NMI standards through the calibration of waterproof transfer chambers at 2 g cm</w:t>
      </w:r>
      <w:r w:rsidR="00BD2F7E" w:rsidRPr="00BD2F7E">
        <w:rPr>
          <w:sz w:val="24"/>
          <w:szCs w:val="24"/>
          <w:vertAlign w:val="superscript"/>
          <w:lang w:val="en-US"/>
        </w:rPr>
        <w:t>–2</w:t>
      </w:r>
      <w:r w:rsidR="00BD2F7E">
        <w:rPr>
          <w:sz w:val="24"/>
          <w:szCs w:val="24"/>
          <w:lang w:val="en-US"/>
        </w:rPr>
        <w:t xml:space="preserve"> in a water phantom. A calibration service for national secondary standards will also be offered.</w:t>
      </w:r>
    </w:p>
    <w:p w:rsidR="00B67C99" w:rsidRPr="00051233" w:rsidRDefault="00624FD3" w:rsidP="00B67C99">
      <w:pPr>
        <w:rPr>
          <w:b/>
          <w:sz w:val="24"/>
          <w:szCs w:val="24"/>
          <w:lang w:val="en-US"/>
        </w:rPr>
      </w:pPr>
      <w:proofErr w:type="gramStart"/>
      <w:r w:rsidRPr="00051233">
        <w:rPr>
          <w:b/>
          <w:sz w:val="24"/>
          <w:szCs w:val="24"/>
          <w:lang w:val="en-US"/>
        </w:rPr>
        <w:t xml:space="preserve">2  </w:t>
      </w:r>
      <w:r w:rsidR="00861871">
        <w:rPr>
          <w:b/>
          <w:sz w:val="24"/>
          <w:szCs w:val="24"/>
          <w:lang w:val="en-US"/>
        </w:rPr>
        <w:t>Outline</w:t>
      </w:r>
      <w:proofErr w:type="gramEnd"/>
      <w:r w:rsidR="00861871">
        <w:rPr>
          <w:b/>
          <w:sz w:val="24"/>
          <w:szCs w:val="24"/>
          <w:lang w:val="en-US"/>
        </w:rPr>
        <w:t xml:space="preserve"> of the method</w:t>
      </w:r>
    </w:p>
    <w:p w:rsidR="00CC1522" w:rsidRDefault="00BD2F7E" w:rsidP="007A6B96">
      <w:pPr>
        <w:spacing w:after="100"/>
        <w:rPr>
          <w:sz w:val="24"/>
          <w:szCs w:val="24"/>
          <w:lang w:val="en-US"/>
        </w:rPr>
      </w:pPr>
      <w:r>
        <w:rPr>
          <w:sz w:val="24"/>
          <w:szCs w:val="24"/>
          <w:lang w:val="en-US"/>
        </w:rPr>
        <w:t xml:space="preserve">The standard is based on the existing free-air chamber standard for the determination of air </w:t>
      </w:r>
      <w:proofErr w:type="spellStart"/>
      <w:r>
        <w:rPr>
          <w:sz w:val="24"/>
          <w:szCs w:val="24"/>
          <w:lang w:val="en-US"/>
        </w:rPr>
        <w:t>kerma</w:t>
      </w:r>
      <w:proofErr w:type="spellEnd"/>
      <w:r>
        <w:rPr>
          <w:sz w:val="24"/>
          <w:szCs w:val="24"/>
          <w:lang w:val="en-US"/>
        </w:rPr>
        <w:t xml:space="preserve">, </w:t>
      </w:r>
      <w:proofErr w:type="spellStart"/>
      <w:r w:rsidRPr="00F973E0">
        <w:rPr>
          <w:i/>
          <w:sz w:val="24"/>
          <w:szCs w:val="24"/>
          <w:lang w:val="en-US"/>
        </w:rPr>
        <w:t>K</w:t>
      </w:r>
      <w:r w:rsidRPr="00F973E0">
        <w:rPr>
          <w:sz w:val="24"/>
          <w:szCs w:val="24"/>
          <w:vertAlign w:val="subscript"/>
          <w:lang w:val="en-US"/>
        </w:rPr>
        <w:t>air</w:t>
      </w:r>
      <w:proofErr w:type="spellEnd"/>
      <w:r>
        <w:rPr>
          <w:sz w:val="24"/>
          <w:szCs w:val="24"/>
          <w:lang w:val="en-US"/>
        </w:rPr>
        <w:t xml:space="preserve">. A waterproof transfer chamber </w:t>
      </w:r>
      <w:r w:rsidR="004E14BA">
        <w:rPr>
          <w:sz w:val="24"/>
          <w:szCs w:val="24"/>
          <w:lang w:val="en-US"/>
        </w:rPr>
        <w:t>is first positioned in air at the reference distance of 12</w:t>
      </w:r>
      <w:r w:rsidR="00E751EA">
        <w:rPr>
          <w:sz w:val="24"/>
          <w:szCs w:val="24"/>
          <w:lang w:val="en-US"/>
        </w:rPr>
        <w:t>00 mm and the ionization charge</w:t>
      </w:r>
      <w:r w:rsidR="004E14BA">
        <w:rPr>
          <w:sz w:val="24"/>
          <w:szCs w:val="24"/>
          <w:lang w:val="en-US"/>
        </w:rPr>
        <w:t xml:space="preserve"> </w:t>
      </w:r>
      <w:proofErr w:type="spellStart"/>
      <w:r w:rsidR="00E751EA">
        <w:rPr>
          <w:i/>
          <w:sz w:val="24"/>
          <w:szCs w:val="24"/>
          <w:lang w:val="en-US"/>
        </w:rPr>
        <w:t>Q</w:t>
      </w:r>
      <w:r w:rsidR="004E14BA" w:rsidRPr="00CC1522">
        <w:rPr>
          <w:sz w:val="24"/>
          <w:szCs w:val="24"/>
          <w:vertAlign w:val="subscript"/>
          <w:lang w:val="en-US"/>
        </w:rPr>
        <w:t>air</w:t>
      </w:r>
      <w:proofErr w:type="spellEnd"/>
      <w:r w:rsidR="004E14BA">
        <w:rPr>
          <w:sz w:val="24"/>
          <w:szCs w:val="24"/>
          <w:lang w:val="en-US"/>
        </w:rPr>
        <w:t xml:space="preserve"> measured (</w:t>
      </w:r>
      <w:r w:rsidR="00CC1522">
        <w:rPr>
          <w:sz w:val="24"/>
          <w:szCs w:val="24"/>
          <w:lang w:val="en-US"/>
        </w:rPr>
        <w:t xml:space="preserve">the chamber calibration coefficient therefore being </w:t>
      </w:r>
      <w:proofErr w:type="spellStart"/>
      <w:r w:rsidR="00CC1522" w:rsidRPr="00F973E0">
        <w:rPr>
          <w:i/>
          <w:sz w:val="24"/>
          <w:szCs w:val="24"/>
          <w:lang w:val="en-US"/>
        </w:rPr>
        <w:t>N</w:t>
      </w:r>
      <w:r w:rsidR="00CC1522" w:rsidRPr="00F973E0">
        <w:rPr>
          <w:i/>
          <w:sz w:val="24"/>
          <w:szCs w:val="24"/>
          <w:vertAlign w:val="subscript"/>
          <w:lang w:val="en-US"/>
        </w:rPr>
        <w:t>K</w:t>
      </w:r>
      <w:proofErr w:type="gramStart"/>
      <w:r w:rsidR="00CC1522" w:rsidRPr="00F973E0">
        <w:rPr>
          <w:sz w:val="24"/>
          <w:szCs w:val="24"/>
          <w:vertAlign w:val="subscript"/>
          <w:lang w:val="en-US"/>
        </w:rPr>
        <w:t>,air</w:t>
      </w:r>
      <w:proofErr w:type="spellEnd"/>
      <w:proofErr w:type="gramEnd"/>
      <w:r w:rsidR="00CC1522">
        <w:rPr>
          <w:sz w:val="24"/>
          <w:szCs w:val="24"/>
          <w:lang w:val="en-US"/>
        </w:rPr>
        <w:t> = </w:t>
      </w:r>
      <w:proofErr w:type="spellStart"/>
      <w:r w:rsidR="00CC1522" w:rsidRPr="00F973E0">
        <w:rPr>
          <w:i/>
          <w:sz w:val="24"/>
          <w:szCs w:val="24"/>
          <w:lang w:val="en-US"/>
        </w:rPr>
        <w:t>K</w:t>
      </w:r>
      <w:r w:rsidR="00CC1522" w:rsidRPr="00F973E0">
        <w:rPr>
          <w:sz w:val="24"/>
          <w:szCs w:val="24"/>
          <w:vertAlign w:val="subscript"/>
          <w:lang w:val="en-US"/>
        </w:rPr>
        <w:t>air</w:t>
      </w:r>
      <w:proofErr w:type="spellEnd"/>
      <w:r w:rsidR="00BF1609">
        <w:rPr>
          <w:sz w:val="24"/>
          <w:szCs w:val="24"/>
          <w:lang w:val="en-US"/>
        </w:rPr>
        <w:t>/</w:t>
      </w:r>
      <w:proofErr w:type="spellStart"/>
      <w:r w:rsidR="00E751EA">
        <w:rPr>
          <w:i/>
          <w:sz w:val="24"/>
          <w:szCs w:val="24"/>
          <w:lang w:val="en-US"/>
        </w:rPr>
        <w:t>Q</w:t>
      </w:r>
      <w:r w:rsidR="00CC1522" w:rsidRPr="00F973E0">
        <w:rPr>
          <w:sz w:val="24"/>
          <w:szCs w:val="24"/>
          <w:vertAlign w:val="subscript"/>
          <w:lang w:val="en-US"/>
        </w:rPr>
        <w:t>air</w:t>
      </w:r>
      <w:proofErr w:type="spellEnd"/>
      <w:r w:rsidR="00CC1522" w:rsidRPr="00CD5116">
        <w:rPr>
          <w:sz w:val="24"/>
          <w:szCs w:val="24"/>
          <w:lang w:val="en-US"/>
        </w:rPr>
        <w:t>,</w:t>
      </w:r>
      <w:r w:rsidR="004E14BA">
        <w:rPr>
          <w:sz w:val="24"/>
          <w:szCs w:val="24"/>
          <w:lang w:val="en-US"/>
        </w:rPr>
        <w:t>)</w:t>
      </w:r>
      <w:r w:rsidR="00CC1522">
        <w:rPr>
          <w:sz w:val="24"/>
          <w:szCs w:val="24"/>
          <w:lang w:val="en-US"/>
        </w:rPr>
        <w:t>. The</w:t>
      </w:r>
      <w:r w:rsidR="004E14BA">
        <w:rPr>
          <w:sz w:val="24"/>
          <w:szCs w:val="24"/>
          <w:lang w:val="en-US"/>
        </w:rPr>
        <w:t xml:space="preserve"> chamber </w:t>
      </w:r>
      <w:r w:rsidR="00624FD3">
        <w:rPr>
          <w:sz w:val="24"/>
          <w:szCs w:val="24"/>
          <w:lang w:val="en-US"/>
        </w:rPr>
        <w:t xml:space="preserve">is </w:t>
      </w:r>
      <w:r w:rsidR="004E14BA">
        <w:rPr>
          <w:sz w:val="24"/>
          <w:szCs w:val="24"/>
          <w:lang w:val="en-US"/>
        </w:rPr>
        <w:t xml:space="preserve">then </w:t>
      </w:r>
      <w:r w:rsidR="00624FD3">
        <w:rPr>
          <w:sz w:val="24"/>
          <w:szCs w:val="24"/>
          <w:lang w:val="en-US"/>
        </w:rPr>
        <w:t>positioned at the reference depth of 2 g cm</w:t>
      </w:r>
      <w:r w:rsidR="00624FD3" w:rsidRPr="00F973E0">
        <w:rPr>
          <w:sz w:val="24"/>
          <w:szCs w:val="24"/>
          <w:vertAlign w:val="superscript"/>
          <w:lang w:val="en-US"/>
        </w:rPr>
        <w:t>–2</w:t>
      </w:r>
      <w:r w:rsidR="00624FD3">
        <w:rPr>
          <w:sz w:val="24"/>
          <w:szCs w:val="24"/>
          <w:lang w:val="en-US"/>
        </w:rPr>
        <w:t xml:space="preserve"> in water</w:t>
      </w:r>
      <w:r w:rsidR="004E14BA">
        <w:rPr>
          <w:sz w:val="24"/>
          <w:szCs w:val="24"/>
          <w:lang w:val="en-US"/>
        </w:rPr>
        <w:t>, while remaining at the reference distance</w:t>
      </w:r>
      <w:r w:rsidR="00E751EA">
        <w:rPr>
          <w:sz w:val="24"/>
          <w:szCs w:val="24"/>
          <w:lang w:val="en-US"/>
        </w:rPr>
        <w:t>, and the ionization charge</w:t>
      </w:r>
      <w:r w:rsidR="00BD0B1E">
        <w:rPr>
          <w:sz w:val="24"/>
          <w:szCs w:val="24"/>
          <w:lang w:val="en-US"/>
        </w:rPr>
        <w:t xml:space="preserve"> </w:t>
      </w:r>
      <w:proofErr w:type="spellStart"/>
      <w:r w:rsidR="00E751EA">
        <w:rPr>
          <w:i/>
          <w:sz w:val="24"/>
          <w:szCs w:val="24"/>
          <w:lang w:val="en-US"/>
        </w:rPr>
        <w:t>Q</w:t>
      </w:r>
      <w:r w:rsidR="00BD0B1E" w:rsidRPr="00F973E0">
        <w:rPr>
          <w:sz w:val="24"/>
          <w:szCs w:val="24"/>
          <w:vertAlign w:val="subscript"/>
          <w:lang w:val="en-US"/>
        </w:rPr>
        <w:t>w</w:t>
      </w:r>
      <w:proofErr w:type="spellEnd"/>
      <w:r w:rsidR="00BD0B1E">
        <w:rPr>
          <w:sz w:val="24"/>
          <w:szCs w:val="24"/>
          <w:lang w:val="en-US"/>
        </w:rPr>
        <w:t xml:space="preserve"> is measured</w:t>
      </w:r>
      <w:r w:rsidR="00CC1522">
        <w:rPr>
          <w:sz w:val="24"/>
          <w:szCs w:val="24"/>
          <w:lang w:val="en-US"/>
        </w:rPr>
        <w:t>. T</w:t>
      </w:r>
      <w:r w:rsidR="00624FD3">
        <w:rPr>
          <w:sz w:val="24"/>
          <w:szCs w:val="24"/>
          <w:lang w:val="en-US"/>
        </w:rPr>
        <w:t xml:space="preserve">he absorbed dose to water, </w:t>
      </w:r>
      <w:proofErr w:type="spellStart"/>
      <w:proofErr w:type="gramStart"/>
      <w:r w:rsidR="00624FD3" w:rsidRPr="00F973E0">
        <w:rPr>
          <w:i/>
          <w:sz w:val="24"/>
          <w:szCs w:val="24"/>
          <w:lang w:val="en-US"/>
        </w:rPr>
        <w:t>D</w:t>
      </w:r>
      <w:r w:rsidR="00624FD3" w:rsidRPr="00F973E0">
        <w:rPr>
          <w:sz w:val="24"/>
          <w:szCs w:val="24"/>
          <w:vertAlign w:val="subscript"/>
          <w:lang w:val="en-US"/>
        </w:rPr>
        <w:t>w</w:t>
      </w:r>
      <w:proofErr w:type="spellEnd"/>
      <w:proofErr w:type="gramEnd"/>
      <w:r w:rsidR="00CC1522">
        <w:rPr>
          <w:sz w:val="24"/>
          <w:szCs w:val="24"/>
          <w:lang w:val="en-US"/>
        </w:rPr>
        <w:t>, at the reference distance and depth</w:t>
      </w:r>
      <w:r w:rsidR="00624FD3">
        <w:rPr>
          <w:sz w:val="24"/>
          <w:szCs w:val="24"/>
          <w:lang w:val="en-US"/>
        </w:rPr>
        <w:t xml:space="preserve"> is derived using</w:t>
      </w:r>
    </w:p>
    <w:p w:rsidR="00CC1522" w:rsidRDefault="00E57104" w:rsidP="007A6B96">
      <w:pPr>
        <w:spacing w:after="0"/>
        <w:rPr>
          <w:sz w:val="24"/>
          <w:szCs w:val="24"/>
          <w:lang w:val="en-US"/>
        </w:rPr>
      </w:pPr>
      <m:oMath>
        <m:sSub>
          <m:sSubPr>
            <m:ctrlPr>
              <w:rPr>
                <w:rFonts w:ascii="Cambria Math" w:hAnsi="Cambria Math"/>
                <w:i/>
              </w:rPr>
            </m:ctrlPr>
          </m:sSubPr>
          <m:e>
            <m:r>
              <w:rPr>
                <w:rFonts w:ascii="Cambria Math" w:hAnsi="Cambria Math"/>
              </w:rPr>
              <m:t>D</m:t>
            </m:r>
          </m:e>
          <m:sub>
            <m:r>
              <m:rPr>
                <m:sty m:val="p"/>
              </m:rPr>
              <w:rPr>
                <w:rFonts w:ascii="Cambria Math" w:hAnsi="Cambria Math"/>
                <w:lang w:val="en-US"/>
              </w:rPr>
              <m:t>w</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K</m:t>
            </m:r>
          </m:e>
          <m:sub>
            <m:r>
              <m:rPr>
                <m:sty m:val="p"/>
              </m:rPr>
              <w:rPr>
                <w:rFonts w:ascii="Cambria Math" w:hAnsi="Cambria Math"/>
                <w:lang w:val="en-US"/>
              </w:rPr>
              <m:t>air</m:t>
            </m:r>
          </m:sub>
        </m:sSub>
        <m:r>
          <w:rPr>
            <w:rFonts w:ascii="Cambria Math" w:hAnsi="Cambria Math"/>
            <w:lang w:val="en-US"/>
          </w:rPr>
          <m:t> </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Q</m:t>
                </m:r>
              </m:e>
              <m:sub>
                <m:r>
                  <m:rPr>
                    <m:sty m:val="p"/>
                  </m:rPr>
                  <w:rPr>
                    <w:rFonts w:ascii="Cambria Math" w:hAnsi="Cambria Math"/>
                    <w:lang w:val="en-US"/>
                  </w:rPr>
                  <m:t>w</m:t>
                </m:r>
              </m:sub>
            </m:sSub>
          </m:num>
          <m:den>
            <m:sSub>
              <m:sSubPr>
                <m:ctrlPr>
                  <w:rPr>
                    <w:rFonts w:ascii="Cambria Math" w:hAnsi="Cambria Math"/>
                    <w:i/>
                    <w:lang w:val="en-US"/>
                  </w:rPr>
                </m:ctrlPr>
              </m:sSubPr>
              <m:e>
                <m:r>
                  <w:rPr>
                    <w:rFonts w:ascii="Cambria Math" w:hAnsi="Cambria Math"/>
                    <w:lang w:val="en-US"/>
                  </w:rPr>
                  <m:t>Q</m:t>
                </m:r>
              </m:e>
              <m:sub>
                <m:r>
                  <m:rPr>
                    <m:sty m:val="p"/>
                  </m:rPr>
                  <w:rPr>
                    <w:rFonts w:ascii="Cambria Math" w:hAnsi="Cambria Math"/>
                    <w:lang w:val="en-US"/>
                  </w:rPr>
                  <m:t>air</m:t>
                </m:r>
              </m:sub>
            </m:sSub>
          </m:den>
        </m:f>
        <m:r>
          <w:rPr>
            <w:rFonts w:ascii="Cambria Math" w:hAnsi="Cambria Math"/>
            <w:lang w:val="en-US"/>
          </w:rPr>
          <m:t> </m:t>
        </m:r>
        <m:sSub>
          <m:sSubPr>
            <m:ctrlPr>
              <w:rPr>
                <w:rFonts w:ascii="Cambria Math" w:hAnsi="Cambria Math"/>
                <w:i/>
                <w:lang w:val="en-US"/>
              </w:rPr>
            </m:ctrlPr>
          </m:sSubPr>
          <m:e>
            <m:r>
              <w:rPr>
                <w:rFonts w:ascii="Cambria Math" w:hAnsi="Cambria Math"/>
                <w:lang w:val="en-US"/>
              </w:rPr>
              <m:t>k</m:t>
            </m:r>
          </m:e>
          <m:sub>
            <m:r>
              <m:rPr>
                <m:sty m:val="p"/>
              </m:rPr>
              <w:rPr>
                <w:rFonts w:ascii="Cambria Math" w:hAnsi="Cambria Math"/>
                <w:lang w:val="en-US"/>
              </w:rPr>
              <m:t>rn</m:t>
            </m:r>
          </m:sub>
        </m:sSub>
        <m:r>
          <w:rPr>
            <w:rFonts w:ascii="Cambria Math" w:hAnsi="Cambria Math"/>
            <w:lang w:val="en-US"/>
          </w:rPr>
          <m:t> </m:t>
        </m:r>
        <m:sSub>
          <m:sSubPr>
            <m:ctrlPr>
              <w:rPr>
                <w:rFonts w:ascii="Cambria Math" w:hAnsi="Cambria Math"/>
                <w:i/>
                <w:lang w:val="en-US"/>
              </w:rPr>
            </m:ctrlPr>
          </m:sSubPr>
          <m:e>
            <m:d>
              <m:dPr>
                <m:ctrlPr>
                  <w:rPr>
                    <w:rFonts w:ascii="Cambria Math" w:hAnsi="Cambria Math"/>
                    <w:i/>
                    <w:lang w:val="en-US"/>
                  </w:rPr>
                </m:ctrlPr>
              </m:dPr>
              <m:e>
                <m:f>
                  <m:fPr>
                    <m:ctrlPr>
                      <w:rPr>
                        <w:rFonts w:ascii="Cambria Math" w:hAnsi="Cambria Math"/>
                        <w:i/>
                        <w:lang w:val="en-US"/>
                      </w:rPr>
                    </m:ctrlPr>
                  </m:fPr>
                  <m:num>
                    <m:f>
                      <m:fPr>
                        <m:type m:val="lin"/>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D</m:t>
                            </m:r>
                          </m:e>
                          <m:sub>
                            <m:r>
                              <m:rPr>
                                <m:sty m:val="p"/>
                              </m:rPr>
                              <w:rPr>
                                <w:rFonts w:ascii="Cambria Math" w:hAnsi="Cambria Math"/>
                                <w:lang w:val="en-US"/>
                              </w:rPr>
                              <m:t>w</m:t>
                            </m:r>
                          </m:sub>
                        </m:sSub>
                      </m:num>
                      <m:den>
                        <m:sSub>
                          <m:sSubPr>
                            <m:ctrlPr>
                              <w:rPr>
                                <w:rFonts w:ascii="Cambria Math" w:hAnsi="Cambria Math"/>
                                <w:i/>
                                <w:lang w:val="en-US"/>
                              </w:rPr>
                            </m:ctrlPr>
                          </m:sSubPr>
                          <m:e>
                            <m:r>
                              <w:rPr>
                                <w:rFonts w:ascii="Cambria Math" w:hAnsi="Cambria Math"/>
                                <w:lang w:val="en-US"/>
                              </w:rPr>
                              <m:t>D</m:t>
                            </m:r>
                          </m:e>
                          <m:sub>
                            <m:r>
                              <m:rPr>
                                <m:sty m:val="p"/>
                              </m:rPr>
                              <w:rPr>
                                <w:rFonts w:ascii="Cambria Math" w:hAnsi="Cambria Math"/>
                                <w:lang w:val="en-US"/>
                              </w:rPr>
                              <m:t>cav,w</m:t>
                            </m:r>
                          </m:sub>
                        </m:sSub>
                      </m:den>
                    </m:f>
                  </m:num>
                  <m:den>
                    <m:f>
                      <m:fPr>
                        <m:type m:val="lin"/>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K</m:t>
                            </m:r>
                          </m:e>
                          <m:sub>
                            <m:r>
                              <m:rPr>
                                <m:sty m:val="p"/>
                              </m:rPr>
                              <w:rPr>
                                <w:rFonts w:ascii="Cambria Math" w:hAnsi="Cambria Math"/>
                                <w:lang w:val="en-US"/>
                              </w:rPr>
                              <m:t>air</m:t>
                            </m:r>
                          </m:sub>
                        </m:sSub>
                      </m:num>
                      <m:den>
                        <m:sSub>
                          <m:sSubPr>
                            <m:ctrlPr>
                              <w:rPr>
                                <w:rFonts w:ascii="Cambria Math" w:hAnsi="Cambria Math"/>
                                <w:i/>
                                <w:lang w:val="en-US"/>
                              </w:rPr>
                            </m:ctrlPr>
                          </m:sSubPr>
                          <m:e>
                            <m:r>
                              <w:rPr>
                                <w:rFonts w:ascii="Cambria Math" w:hAnsi="Cambria Math"/>
                                <w:lang w:val="en-US"/>
                              </w:rPr>
                              <m:t>D</m:t>
                            </m:r>
                          </m:e>
                          <m:sub>
                            <m:r>
                              <m:rPr>
                                <m:sty m:val="p"/>
                              </m:rPr>
                              <w:rPr>
                                <w:rFonts w:ascii="Cambria Math" w:hAnsi="Cambria Math"/>
                                <w:lang w:val="en-US"/>
                              </w:rPr>
                              <m:t>cav,air</m:t>
                            </m:r>
                          </m:sub>
                        </m:sSub>
                      </m:den>
                    </m:f>
                  </m:den>
                </m:f>
              </m:e>
            </m:d>
          </m:e>
          <m:sub>
            <m:r>
              <m:rPr>
                <m:sty m:val="p"/>
              </m:rPr>
              <w:rPr>
                <w:rFonts w:ascii="Cambria Math" w:hAnsi="Cambria Math"/>
                <w:lang w:val="en-US"/>
              </w:rPr>
              <m:t>MC</m:t>
            </m:r>
          </m:sub>
        </m:sSub>
      </m:oMath>
      <w:r w:rsidR="00CB0A74">
        <w:rPr>
          <w:rFonts w:eastAsiaTheme="minorEastAsia"/>
          <w:lang w:val="en-US"/>
        </w:rPr>
        <w:tab/>
      </w:r>
      <w:r w:rsidR="00CB0A74">
        <w:rPr>
          <w:rFonts w:eastAsiaTheme="minorEastAsia"/>
          <w:lang w:val="en-US"/>
        </w:rPr>
        <w:tab/>
      </w:r>
      <w:r w:rsidR="00CB0A74">
        <w:rPr>
          <w:rFonts w:eastAsiaTheme="minorEastAsia"/>
          <w:lang w:val="en-US"/>
        </w:rPr>
        <w:tab/>
      </w:r>
      <w:r w:rsidR="00CB0A74">
        <w:rPr>
          <w:rFonts w:eastAsiaTheme="minorEastAsia"/>
          <w:lang w:val="en-US"/>
        </w:rPr>
        <w:tab/>
      </w:r>
      <w:r w:rsidR="00CB0A74">
        <w:rPr>
          <w:rFonts w:eastAsiaTheme="minorEastAsia"/>
          <w:lang w:val="en-US"/>
        </w:rPr>
        <w:tab/>
      </w:r>
      <w:r w:rsidR="00CB0A74">
        <w:rPr>
          <w:rFonts w:eastAsiaTheme="minorEastAsia"/>
          <w:lang w:val="en-US"/>
        </w:rPr>
        <w:tab/>
      </w:r>
      <w:r w:rsidR="00CB0A74">
        <w:rPr>
          <w:rFonts w:eastAsiaTheme="minorEastAsia"/>
          <w:lang w:val="en-US"/>
        </w:rPr>
        <w:tab/>
      </w:r>
      <w:r w:rsidR="00CB0A74">
        <w:rPr>
          <w:rFonts w:eastAsiaTheme="minorEastAsia"/>
          <w:lang w:val="en-US"/>
        </w:rPr>
        <w:tab/>
        <w:t>(1)</w:t>
      </w:r>
      <m:oMath>
        <m:r>
          <m:rPr>
            <m:sty m:val="p"/>
          </m:rPr>
          <w:rPr>
            <w:lang w:val="en-US"/>
          </w:rPr>
          <w:br/>
        </m:r>
      </m:oMath>
    </w:p>
    <w:p w:rsidR="005B71FA" w:rsidRDefault="0049301E" w:rsidP="007A6B96">
      <w:pPr>
        <w:spacing w:after="100"/>
        <w:rPr>
          <w:sz w:val="24"/>
          <w:szCs w:val="24"/>
          <w:lang w:val="en-US"/>
        </w:rPr>
      </w:pPr>
      <w:proofErr w:type="gramStart"/>
      <w:r>
        <w:rPr>
          <w:sz w:val="24"/>
          <w:szCs w:val="24"/>
          <w:lang w:val="en-US"/>
        </w:rPr>
        <w:t>where</w:t>
      </w:r>
      <w:proofErr w:type="gramEnd"/>
      <w:r>
        <w:rPr>
          <w:sz w:val="24"/>
          <w:szCs w:val="24"/>
          <w:lang w:val="en-US"/>
        </w:rPr>
        <w:t xml:space="preserve"> </w:t>
      </w:r>
      <w:proofErr w:type="spellStart"/>
      <w:r w:rsidRPr="0049301E">
        <w:rPr>
          <w:i/>
          <w:sz w:val="24"/>
          <w:szCs w:val="24"/>
          <w:lang w:val="en-US"/>
        </w:rPr>
        <w:t>k</w:t>
      </w:r>
      <w:r w:rsidRPr="0049301E">
        <w:rPr>
          <w:sz w:val="24"/>
          <w:szCs w:val="24"/>
          <w:vertAlign w:val="subscript"/>
          <w:lang w:val="en-US"/>
        </w:rPr>
        <w:t>rn</w:t>
      </w:r>
      <w:proofErr w:type="spellEnd"/>
      <w:r>
        <w:rPr>
          <w:sz w:val="24"/>
          <w:szCs w:val="24"/>
          <w:lang w:val="en-US"/>
        </w:rPr>
        <w:t xml:space="preserve"> is a measured correction for the radial non-uniformity in water over the dimensions of the air cavity (an effect that is negligible in air). </w:t>
      </w:r>
      <w:r w:rsidR="00BD0B1E">
        <w:rPr>
          <w:sz w:val="24"/>
          <w:szCs w:val="24"/>
          <w:lang w:val="en-US"/>
        </w:rPr>
        <w:t>The</w:t>
      </w:r>
      <w:r w:rsidR="00624FD3">
        <w:rPr>
          <w:sz w:val="24"/>
          <w:szCs w:val="24"/>
          <w:lang w:val="en-US"/>
        </w:rPr>
        <w:t xml:space="preserve"> </w:t>
      </w:r>
      <w:r w:rsidR="00586BC9">
        <w:rPr>
          <w:sz w:val="24"/>
          <w:szCs w:val="24"/>
          <w:lang w:val="en-US"/>
        </w:rPr>
        <w:t xml:space="preserve">conversion factor </w:t>
      </w:r>
      <w:r w:rsidR="00624FD3">
        <w:rPr>
          <w:sz w:val="24"/>
          <w:szCs w:val="24"/>
          <w:lang w:val="en-US"/>
        </w:rPr>
        <w:t>in parenthesis</w:t>
      </w:r>
      <w:r>
        <w:rPr>
          <w:sz w:val="24"/>
          <w:szCs w:val="24"/>
          <w:lang w:val="en-US"/>
        </w:rPr>
        <w:t xml:space="preserve">, </w:t>
      </w:r>
      <w:r w:rsidR="00BF1609">
        <w:rPr>
          <w:sz w:val="24"/>
          <w:szCs w:val="24"/>
          <w:lang w:val="en-US"/>
        </w:rPr>
        <w:t>referred</w:t>
      </w:r>
      <w:r w:rsidR="00586BC9">
        <w:rPr>
          <w:sz w:val="24"/>
          <w:szCs w:val="24"/>
          <w:lang w:val="en-US"/>
        </w:rPr>
        <w:t xml:space="preserve"> to henceforth as </w:t>
      </w:r>
      <w:r w:rsidR="00586BC9" w:rsidRPr="00586BC9">
        <w:rPr>
          <w:i/>
          <w:sz w:val="24"/>
          <w:szCs w:val="24"/>
          <w:lang w:val="en-US"/>
        </w:rPr>
        <w:t>C</w:t>
      </w:r>
      <w:r w:rsidR="008C322C">
        <w:rPr>
          <w:sz w:val="24"/>
          <w:szCs w:val="24"/>
          <w:vertAlign w:val="subscript"/>
          <w:lang w:val="en-US"/>
        </w:rPr>
        <w:t>MC</w:t>
      </w:r>
      <w:r w:rsidR="00586BC9">
        <w:rPr>
          <w:sz w:val="24"/>
          <w:szCs w:val="24"/>
          <w:lang w:val="en-US"/>
        </w:rPr>
        <w:t>,</w:t>
      </w:r>
      <w:r w:rsidR="00624FD3">
        <w:rPr>
          <w:sz w:val="24"/>
          <w:szCs w:val="24"/>
          <w:lang w:val="en-US"/>
        </w:rPr>
        <w:t xml:space="preserve"> is in effect a ratio of </w:t>
      </w:r>
      <w:r w:rsidR="00F973E0">
        <w:rPr>
          <w:sz w:val="24"/>
          <w:szCs w:val="24"/>
          <w:lang w:val="en-US"/>
        </w:rPr>
        <w:t>‘</w:t>
      </w:r>
      <w:r w:rsidR="00624FD3">
        <w:rPr>
          <w:sz w:val="24"/>
          <w:szCs w:val="24"/>
          <w:lang w:val="en-US"/>
        </w:rPr>
        <w:t>calibration coefficients</w:t>
      </w:r>
      <w:r w:rsidR="00F973E0">
        <w:rPr>
          <w:sz w:val="24"/>
          <w:szCs w:val="24"/>
          <w:lang w:val="en-US"/>
        </w:rPr>
        <w:t>’</w:t>
      </w:r>
      <w:r w:rsidR="00624FD3">
        <w:rPr>
          <w:sz w:val="24"/>
          <w:szCs w:val="24"/>
          <w:lang w:val="en-US"/>
        </w:rPr>
        <w:t>, water to air, calculated using the Monte Carlo method</w:t>
      </w:r>
      <w:r w:rsidR="00E94DDF">
        <w:rPr>
          <w:sz w:val="24"/>
          <w:szCs w:val="24"/>
          <w:lang w:val="en-US"/>
        </w:rPr>
        <w:t xml:space="preserve">; </w:t>
      </w:r>
      <w:proofErr w:type="spellStart"/>
      <w:r w:rsidR="00E94DDF" w:rsidRPr="00E94DDF">
        <w:rPr>
          <w:i/>
          <w:sz w:val="24"/>
          <w:szCs w:val="24"/>
          <w:lang w:val="en-US"/>
        </w:rPr>
        <w:t>D</w:t>
      </w:r>
      <w:r w:rsidR="00E94DDF" w:rsidRPr="00E94DDF">
        <w:rPr>
          <w:sz w:val="24"/>
          <w:szCs w:val="24"/>
          <w:vertAlign w:val="subscript"/>
          <w:lang w:val="en-US"/>
        </w:rPr>
        <w:t>cav</w:t>
      </w:r>
      <w:proofErr w:type="gramStart"/>
      <w:r w:rsidR="00E94DDF" w:rsidRPr="00E94DDF">
        <w:rPr>
          <w:sz w:val="24"/>
          <w:szCs w:val="24"/>
          <w:vertAlign w:val="subscript"/>
          <w:lang w:val="en-US"/>
        </w:rPr>
        <w:t>,w</w:t>
      </w:r>
      <w:proofErr w:type="spellEnd"/>
      <w:proofErr w:type="gramEnd"/>
      <w:r w:rsidR="00E94DDF">
        <w:rPr>
          <w:sz w:val="24"/>
          <w:szCs w:val="24"/>
          <w:lang w:val="en-US"/>
        </w:rPr>
        <w:t xml:space="preserve"> represents the calculated cavity dose for the chamber in water and </w:t>
      </w:r>
      <w:proofErr w:type="spellStart"/>
      <w:r w:rsidR="00E94DDF" w:rsidRPr="00E94DDF">
        <w:rPr>
          <w:i/>
          <w:sz w:val="24"/>
          <w:szCs w:val="24"/>
          <w:lang w:val="en-US"/>
        </w:rPr>
        <w:t>D</w:t>
      </w:r>
      <w:r w:rsidR="00E94DDF" w:rsidRPr="00E94DDF">
        <w:rPr>
          <w:sz w:val="24"/>
          <w:szCs w:val="24"/>
          <w:vertAlign w:val="subscript"/>
          <w:lang w:val="en-US"/>
        </w:rPr>
        <w:t>cav,air</w:t>
      </w:r>
      <w:proofErr w:type="spellEnd"/>
      <w:r w:rsidR="00E94DDF">
        <w:rPr>
          <w:sz w:val="24"/>
          <w:szCs w:val="24"/>
          <w:lang w:val="en-US"/>
        </w:rPr>
        <w:t xml:space="preserve"> that for the chamber in air</w:t>
      </w:r>
      <w:r w:rsidR="00624FD3">
        <w:rPr>
          <w:sz w:val="24"/>
          <w:szCs w:val="24"/>
          <w:lang w:val="en-US"/>
        </w:rPr>
        <w:t>.</w:t>
      </w:r>
      <w:r w:rsidR="00CC1522">
        <w:rPr>
          <w:sz w:val="24"/>
          <w:szCs w:val="24"/>
          <w:lang w:val="en-US"/>
        </w:rPr>
        <w:t xml:space="preserve"> </w:t>
      </w:r>
      <w:r w:rsidR="00624FD3">
        <w:rPr>
          <w:sz w:val="24"/>
          <w:szCs w:val="24"/>
          <w:lang w:val="en-US"/>
        </w:rPr>
        <w:t>Although expressed</w:t>
      </w:r>
      <w:r w:rsidR="00D9535F">
        <w:rPr>
          <w:sz w:val="24"/>
          <w:szCs w:val="24"/>
          <w:lang w:val="en-US"/>
        </w:rPr>
        <w:t xml:space="preserve"> in</w:t>
      </w:r>
      <w:r w:rsidR="00624FD3">
        <w:rPr>
          <w:sz w:val="24"/>
          <w:szCs w:val="24"/>
          <w:lang w:val="en-US"/>
        </w:rPr>
        <w:t xml:space="preserve"> dif</w:t>
      </w:r>
      <w:r w:rsidR="00D9535F">
        <w:rPr>
          <w:sz w:val="24"/>
          <w:szCs w:val="24"/>
          <w:lang w:val="en-US"/>
        </w:rPr>
        <w:t>ferent terms</w:t>
      </w:r>
      <w:r w:rsidR="00624FD3">
        <w:rPr>
          <w:sz w:val="24"/>
          <w:szCs w:val="24"/>
          <w:lang w:val="en-US"/>
        </w:rPr>
        <w:t xml:space="preserve">, the method </w:t>
      </w:r>
      <w:r w:rsidR="00BD0B1E">
        <w:rPr>
          <w:sz w:val="24"/>
          <w:szCs w:val="24"/>
          <w:lang w:val="en-US"/>
        </w:rPr>
        <w:t xml:space="preserve">has </w:t>
      </w:r>
      <w:r w:rsidR="00624FD3">
        <w:rPr>
          <w:sz w:val="24"/>
          <w:szCs w:val="24"/>
          <w:lang w:val="en-US"/>
        </w:rPr>
        <w:t xml:space="preserve">at least in principle </w:t>
      </w:r>
      <w:r w:rsidR="00BD0B1E">
        <w:rPr>
          <w:sz w:val="24"/>
          <w:szCs w:val="24"/>
          <w:lang w:val="en-US"/>
        </w:rPr>
        <w:t>much in common with</w:t>
      </w:r>
      <w:r w:rsidR="00624FD3">
        <w:rPr>
          <w:sz w:val="24"/>
          <w:szCs w:val="24"/>
          <w:lang w:val="en-US"/>
        </w:rPr>
        <w:t xml:space="preserve"> that used in codes of practice based on air kerma. However, the </w:t>
      </w:r>
      <w:r w:rsidR="00BD0B1E">
        <w:rPr>
          <w:sz w:val="24"/>
          <w:szCs w:val="24"/>
          <w:lang w:val="en-US"/>
        </w:rPr>
        <w:t xml:space="preserve">self-consistent and </w:t>
      </w:r>
      <w:r w:rsidR="00624FD3">
        <w:rPr>
          <w:sz w:val="24"/>
          <w:szCs w:val="24"/>
          <w:lang w:val="en-US"/>
        </w:rPr>
        <w:t xml:space="preserve">detailed implementation is such that the uncertainties are reduced </w:t>
      </w:r>
      <w:r w:rsidR="00F973E0">
        <w:rPr>
          <w:sz w:val="24"/>
          <w:szCs w:val="24"/>
          <w:lang w:val="en-US"/>
        </w:rPr>
        <w:t>to a level that is comparable with</w:t>
      </w:r>
      <w:r w:rsidR="00624FD3">
        <w:rPr>
          <w:sz w:val="24"/>
          <w:szCs w:val="24"/>
          <w:lang w:val="en-US"/>
        </w:rPr>
        <w:t xml:space="preserve"> existing </w:t>
      </w:r>
      <w:r w:rsidR="00BF1609">
        <w:rPr>
          <w:sz w:val="24"/>
          <w:szCs w:val="24"/>
          <w:lang w:val="en-US"/>
        </w:rPr>
        <w:t>standard</w:t>
      </w:r>
      <w:r w:rsidR="000F1D29">
        <w:rPr>
          <w:sz w:val="24"/>
          <w:szCs w:val="24"/>
          <w:lang w:val="en-US"/>
        </w:rPr>
        <w:t>s</w:t>
      </w:r>
      <w:r w:rsidR="00BF1609">
        <w:rPr>
          <w:sz w:val="24"/>
          <w:szCs w:val="24"/>
          <w:lang w:val="en-US"/>
        </w:rPr>
        <w:t xml:space="preserve"> based on water calorimetry</w:t>
      </w:r>
      <w:r w:rsidR="005B71FA">
        <w:rPr>
          <w:sz w:val="24"/>
          <w:szCs w:val="24"/>
          <w:lang w:val="en-US"/>
        </w:rPr>
        <w:t>. In particular</w:t>
      </w:r>
      <w:r w:rsidR="00624FD3">
        <w:rPr>
          <w:sz w:val="24"/>
          <w:szCs w:val="24"/>
          <w:lang w:val="en-US"/>
        </w:rPr>
        <w:t>:</w:t>
      </w:r>
    </w:p>
    <w:p w:rsidR="005B71FA" w:rsidRDefault="00AB66B5" w:rsidP="00AB66B5">
      <w:pPr>
        <w:spacing w:after="60"/>
        <w:ind w:left="284" w:hanging="284"/>
        <w:rPr>
          <w:sz w:val="24"/>
          <w:szCs w:val="24"/>
          <w:lang w:val="en-US"/>
        </w:rPr>
      </w:pPr>
      <w:proofErr w:type="spellStart"/>
      <w:proofErr w:type="gramStart"/>
      <w:r>
        <w:rPr>
          <w:sz w:val="24"/>
          <w:szCs w:val="24"/>
          <w:lang w:val="en-US"/>
        </w:rPr>
        <w:t>i</w:t>
      </w:r>
      <w:proofErr w:type="spellEnd"/>
      <w:proofErr w:type="gramEnd"/>
      <w:r>
        <w:rPr>
          <w:sz w:val="24"/>
          <w:szCs w:val="24"/>
          <w:lang w:val="en-US"/>
        </w:rPr>
        <w:tab/>
      </w:r>
      <w:r w:rsidR="005B71FA">
        <w:rPr>
          <w:sz w:val="24"/>
          <w:szCs w:val="24"/>
          <w:lang w:val="en-US"/>
        </w:rPr>
        <w:t xml:space="preserve">The spectra used for the calculations contain the full phase-space information and are calculated from a simulation of the BIPM x-ray tube, inherent filtration, </w:t>
      </w:r>
      <w:r w:rsidR="000F1D29">
        <w:rPr>
          <w:sz w:val="24"/>
          <w:szCs w:val="24"/>
          <w:lang w:val="en-US"/>
        </w:rPr>
        <w:t>collimation</w:t>
      </w:r>
      <w:r w:rsidR="005A3DE8">
        <w:rPr>
          <w:sz w:val="24"/>
          <w:szCs w:val="24"/>
          <w:lang w:val="en-US"/>
        </w:rPr>
        <w:t xml:space="preserve"> </w:t>
      </w:r>
      <w:r w:rsidR="000F1D29">
        <w:rPr>
          <w:sz w:val="24"/>
          <w:szCs w:val="24"/>
          <w:lang w:val="en-US"/>
        </w:rPr>
        <w:t xml:space="preserve">and </w:t>
      </w:r>
      <w:r w:rsidR="005B71FA">
        <w:rPr>
          <w:sz w:val="24"/>
          <w:szCs w:val="24"/>
          <w:lang w:val="en-US"/>
        </w:rPr>
        <w:t>added fil</w:t>
      </w:r>
      <w:r w:rsidR="000F1D29">
        <w:rPr>
          <w:sz w:val="24"/>
          <w:szCs w:val="24"/>
          <w:lang w:val="en-US"/>
        </w:rPr>
        <w:t>tration;</w:t>
      </w:r>
    </w:p>
    <w:p w:rsidR="005A3DE8" w:rsidRDefault="00AB66B5" w:rsidP="00AB66B5">
      <w:pPr>
        <w:spacing w:after="60"/>
        <w:ind w:left="284" w:hanging="284"/>
        <w:rPr>
          <w:sz w:val="24"/>
          <w:szCs w:val="24"/>
          <w:lang w:val="en-US"/>
        </w:rPr>
      </w:pPr>
      <w:proofErr w:type="gramStart"/>
      <w:r>
        <w:rPr>
          <w:sz w:val="24"/>
          <w:szCs w:val="24"/>
          <w:lang w:val="en-US"/>
        </w:rPr>
        <w:t>ii</w:t>
      </w:r>
      <w:proofErr w:type="gramEnd"/>
      <w:r>
        <w:rPr>
          <w:sz w:val="24"/>
          <w:szCs w:val="24"/>
          <w:lang w:val="en-US"/>
        </w:rPr>
        <w:tab/>
      </w:r>
      <w:r w:rsidR="005B71FA">
        <w:rPr>
          <w:sz w:val="24"/>
          <w:szCs w:val="24"/>
          <w:lang w:val="en-US"/>
        </w:rPr>
        <w:t xml:space="preserve">The geometries of the transfer chambers are </w:t>
      </w:r>
      <w:r w:rsidR="00BF1609">
        <w:rPr>
          <w:sz w:val="24"/>
          <w:szCs w:val="24"/>
          <w:lang w:val="en-US"/>
        </w:rPr>
        <w:t>simulated in detail, as is the geometry</w:t>
      </w:r>
      <w:r w:rsidR="005A3DE8">
        <w:rPr>
          <w:sz w:val="24"/>
          <w:szCs w:val="24"/>
          <w:lang w:val="en-US"/>
        </w:rPr>
        <w:t xml:space="preserve"> of the </w:t>
      </w:r>
      <w:r w:rsidR="000F1D29">
        <w:rPr>
          <w:sz w:val="24"/>
          <w:szCs w:val="24"/>
          <w:lang w:val="en-US"/>
        </w:rPr>
        <w:t xml:space="preserve">PMMA </w:t>
      </w:r>
      <w:r w:rsidR="005A3DE8">
        <w:rPr>
          <w:sz w:val="24"/>
          <w:szCs w:val="24"/>
          <w:lang w:val="en-US"/>
        </w:rPr>
        <w:t>water phantom</w:t>
      </w:r>
      <w:r w:rsidR="00F25D93">
        <w:rPr>
          <w:sz w:val="24"/>
          <w:szCs w:val="24"/>
          <w:lang w:val="en-US"/>
        </w:rPr>
        <w:t xml:space="preserve"> front face and entrance window</w:t>
      </w:r>
      <w:r w:rsidR="000F1D29">
        <w:rPr>
          <w:sz w:val="24"/>
          <w:szCs w:val="24"/>
          <w:lang w:val="en-US"/>
        </w:rPr>
        <w:t>;</w:t>
      </w:r>
    </w:p>
    <w:p w:rsidR="005A3DE8" w:rsidRDefault="00AB66B5" w:rsidP="00AB66B5">
      <w:pPr>
        <w:spacing w:after="60"/>
        <w:ind w:left="284" w:hanging="284"/>
        <w:rPr>
          <w:sz w:val="24"/>
          <w:szCs w:val="24"/>
          <w:lang w:val="en-US"/>
        </w:rPr>
      </w:pPr>
      <w:proofErr w:type="gramStart"/>
      <w:r>
        <w:rPr>
          <w:sz w:val="24"/>
          <w:szCs w:val="24"/>
          <w:lang w:val="en-US"/>
        </w:rPr>
        <w:t>iii</w:t>
      </w:r>
      <w:proofErr w:type="gramEnd"/>
      <w:r>
        <w:rPr>
          <w:sz w:val="24"/>
          <w:szCs w:val="24"/>
          <w:lang w:val="en-US"/>
        </w:rPr>
        <w:tab/>
      </w:r>
      <w:r w:rsidR="005A3DE8">
        <w:rPr>
          <w:sz w:val="24"/>
          <w:szCs w:val="24"/>
          <w:lang w:val="en-US"/>
        </w:rPr>
        <w:t xml:space="preserve">The choice of </w:t>
      </w:r>
      <w:r w:rsidR="0038710D">
        <w:rPr>
          <w:sz w:val="24"/>
          <w:szCs w:val="24"/>
          <w:lang w:val="en-US"/>
        </w:rPr>
        <w:t xml:space="preserve">detailed </w:t>
      </w:r>
      <w:r w:rsidR="005A3DE8">
        <w:rPr>
          <w:sz w:val="24"/>
          <w:szCs w:val="24"/>
          <w:lang w:val="en-US"/>
        </w:rPr>
        <w:t>transpor</w:t>
      </w:r>
      <w:r w:rsidR="00C73975">
        <w:rPr>
          <w:sz w:val="24"/>
          <w:szCs w:val="24"/>
          <w:lang w:val="en-US"/>
        </w:rPr>
        <w:t xml:space="preserve">t parameters </w:t>
      </w:r>
      <w:r w:rsidR="005A3DE8">
        <w:rPr>
          <w:sz w:val="24"/>
          <w:szCs w:val="24"/>
          <w:lang w:val="en-US"/>
        </w:rPr>
        <w:t>result</w:t>
      </w:r>
      <w:r w:rsidR="005B39BB">
        <w:rPr>
          <w:sz w:val="24"/>
          <w:szCs w:val="24"/>
          <w:lang w:val="en-US"/>
        </w:rPr>
        <w:t>s</w:t>
      </w:r>
      <w:r w:rsidR="000F1D29">
        <w:rPr>
          <w:sz w:val="24"/>
          <w:szCs w:val="24"/>
          <w:lang w:val="en-US"/>
        </w:rPr>
        <w:t xml:space="preserve"> in </w:t>
      </w:r>
      <w:r w:rsidR="00442B5F">
        <w:rPr>
          <w:sz w:val="24"/>
          <w:szCs w:val="24"/>
          <w:lang w:val="en-US"/>
        </w:rPr>
        <w:t>reliable cavity-</w:t>
      </w:r>
      <w:r w:rsidR="005A3DE8">
        <w:rPr>
          <w:sz w:val="24"/>
          <w:szCs w:val="24"/>
          <w:lang w:val="en-US"/>
        </w:rPr>
        <w:t>dose calculation</w:t>
      </w:r>
      <w:r w:rsidR="000F1D29">
        <w:rPr>
          <w:sz w:val="24"/>
          <w:szCs w:val="24"/>
          <w:lang w:val="en-US"/>
        </w:rPr>
        <w:t>s;</w:t>
      </w:r>
    </w:p>
    <w:p w:rsidR="0038710D" w:rsidRDefault="00AB66B5" w:rsidP="00AB66B5">
      <w:pPr>
        <w:spacing w:after="60"/>
        <w:ind w:left="284" w:hanging="284"/>
        <w:rPr>
          <w:sz w:val="24"/>
          <w:szCs w:val="24"/>
          <w:lang w:val="en-US"/>
        </w:rPr>
      </w:pPr>
      <w:r>
        <w:rPr>
          <w:sz w:val="24"/>
          <w:szCs w:val="24"/>
          <w:lang w:val="en-US"/>
        </w:rPr>
        <w:lastRenderedPageBreak/>
        <w:t>iv</w:t>
      </w:r>
      <w:r>
        <w:rPr>
          <w:sz w:val="24"/>
          <w:szCs w:val="24"/>
          <w:lang w:val="en-US"/>
        </w:rPr>
        <w:tab/>
      </w:r>
      <w:r w:rsidR="0038710D">
        <w:rPr>
          <w:sz w:val="24"/>
          <w:szCs w:val="24"/>
          <w:lang w:val="en-US"/>
        </w:rPr>
        <w:t xml:space="preserve">Evaluation of </w:t>
      </w:r>
      <w:proofErr w:type="spellStart"/>
      <w:r w:rsidR="0038710D" w:rsidRPr="00F973E0">
        <w:rPr>
          <w:i/>
          <w:sz w:val="24"/>
          <w:szCs w:val="24"/>
          <w:lang w:val="en-US"/>
        </w:rPr>
        <w:t>D</w:t>
      </w:r>
      <w:r w:rsidR="0038710D" w:rsidRPr="00F973E0">
        <w:rPr>
          <w:sz w:val="24"/>
          <w:szCs w:val="24"/>
          <w:vertAlign w:val="subscript"/>
          <w:lang w:val="en-US"/>
        </w:rPr>
        <w:t>w</w:t>
      </w:r>
      <w:proofErr w:type="spellEnd"/>
      <w:r w:rsidR="0038710D">
        <w:rPr>
          <w:sz w:val="24"/>
          <w:szCs w:val="24"/>
          <w:lang w:val="en-US"/>
        </w:rPr>
        <w:t xml:space="preserve"> using transfer chambers of different type</w:t>
      </w:r>
      <w:r>
        <w:rPr>
          <w:sz w:val="24"/>
          <w:szCs w:val="24"/>
          <w:lang w:val="en-US"/>
        </w:rPr>
        <w:t>, as well as several chambers of the same type,</w:t>
      </w:r>
      <w:r w:rsidR="0038710D">
        <w:rPr>
          <w:sz w:val="24"/>
          <w:szCs w:val="24"/>
          <w:lang w:val="en-US"/>
        </w:rPr>
        <w:t xml:space="preserve"> allow</w:t>
      </w:r>
      <w:r>
        <w:rPr>
          <w:sz w:val="24"/>
          <w:szCs w:val="24"/>
          <w:lang w:val="en-US"/>
        </w:rPr>
        <w:t>s</w:t>
      </w:r>
      <w:r w:rsidR="0038710D">
        <w:rPr>
          <w:sz w:val="24"/>
          <w:szCs w:val="24"/>
          <w:lang w:val="en-US"/>
        </w:rPr>
        <w:t xml:space="preserve"> a more robust </w:t>
      </w:r>
      <w:r>
        <w:rPr>
          <w:sz w:val="24"/>
          <w:szCs w:val="24"/>
          <w:lang w:val="en-US"/>
        </w:rPr>
        <w:t>determination and a bet</w:t>
      </w:r>
      <w:r w:rsidR="000F1D29">
        <w:rPr>
          <w:sz w:val="24"/>
          <w:szCs w:val="24"/>
          <w:lang w:val="en-US"/>
        </w:rPr>
        <w:t>ter estimate of the uncertainty;</w:t>
      </w:r>
    </w:p>
    <w:p w:rsidR="005A3DE8" w:rsidRDefault="00AB66B5" w:rsidP="00623542">
      <w:pPr>
        <w:ind w:left="284" w:hanging="284"/>
        <w:rPr>
          <w:sz w:val="24"/>
          <w:szCs w:val="24"/>
          <w:lang w:val="en-US"/>
        </w:rPr>
      </w:pPr>
      <w:proofErr w:type="gramStart"/>
      <w:r>
        <w:rPr>
          <w:sz w:val="24"/>
          <w:szCs w:val="24"/>
          <w:lang w:val="en-US"/>
        </w:rPr>
        <w:t>v</w:t>
      </w:r>
      <w:proofErr w:type="gramEnd"/>
      <w:r>
        <w:rPr>
          <w:sz w:val="24"/>
          <w:szCs w:val="24"/>
          <w:lang w:val="en-US"/>
        </w:rPr>
        <w:tab/>
        <w:t>An</w:t>
      </w:r>
      <w:r w:rsidR="0038710D">
        <w:rPr>
          <w:sz w:val="24"/>
          <w:szCs w:val="24"/>
          <w:lang w:val="en-US"/>
        </w:rPr>
        <w:t xml:space="preserve"> arrangement to reproducibly </w:t>
      </w:r>
      <w:r>
        <w:rPr>
          <w:sz w:val="24"/>
          <w:szCs w:val="24"/>
          <w:lang w:val="en-US"/>
        </w:rPr>
        <w:t xml:space="preserve">position </w:t>
      </w:r>
      <w:r w:rsidR="00F973E0">
        <w:rPr>
          <w:sz w:val="24"/>
          <w:szCs w:val="24"/>
          <w:lang w:val="en-US"/>
        </w:rPr>
        <w:t xml:space="preserve">ionization </w:t>
      </w:r>
      <w:r w:rsidR="0038710D">
        <w:rPr>
          <w:sz w:val="24"/>
          <w:szCs w:val="24"/>
          <w:lang w:val="en-US"/>
        </w:rPr>
        <w:t>chamber</w:t>
      </w:r>
      <w:r>
        <w:rPr>
          <w:sz w:val="24"/>
          <w:szCs w:val="24"/>
          <w:lang w:val="en-US"/>
        </w:rPr>
        <w:t>s at the reference depth in water to better than 0.02 mm res</w:t>
      </w:r>
      <w:r w:rsidR="0038710D">
        <w:rPr>
          <w:sz w:val="24"/>
          <w:szCs w:val="24"/>
          <w:lang w:val="en-US"/>
        </w:rPr>
        <w:t>ults in highl</w:t>
      </w:r>
      <w:r w:rsidR="00E751EA">
        <w:rPr>
          <w:sz w:val="24"/>
          <w:szCs w:val="24"/>
          <w:lang w:val="en-US"/>
        </w:rPr>
        <w:t>y reproducible charge</w:t>
      </w:r>
      <w:r w:rsidR="0038710D">
        <w:rPr>
          <w:sz w:val="24"/>
          <w:szCs w:val="24"/>
          <w:lang w:val="en-US"/>
        </w:rPr>
        <w:t xml:space="preserve"> ratios </w:t>
      </w:r>
      <w:proofErr w:type="spellStart"/>
      <w:r w:rsidR="00E751EA">
        <w:rPr>
          <w:i/>
          <w:sz w:val="24"/>
          <w:szCs w:val="24"/>
          <w:lang w:val="en-US"/>
        </w:rPr>
        <w:t>Q</w:t>
      </w:r>
      <w:r w:rsidR="0038710D" w:rsidRPr="00623542">
        <w:rPr>
          <w:sz w:val="24"/>
          <w:szCs w:val="24"/>
          <w:vertAlign w:val="subscript"/>
          <w:lang w:val="en-US"/>
        </w:rPr>
        <w:t>w</w:t>
      </w:r>
      <w:proofErr w:type="spellEnd"/>
      <w:r w:rsidR="00BF1609">
        <w:rPr>
          <w:sz w:val="24"/>
          <w:szCs w:val="24"/>
          <w:lang w:val="en-US"/>
        </w:rPr>
        <w:t>/</w:t>
      </w:r>
      <w:proofErr w:type="spellStart"/>
      <w:r w:rsidR="00E751EA">
        <w:rPr>
          <w:i/>
          <w:sz w:val="24"/>
          <w:szCs w:val="24"/>
          <w:lang w:val="en-US"/>
        </w:rPr>
        <w:t>Q</w:t>
      </w:r>
      <w:r w:rsidR="0038710D" w:rsidRPr="00623542">
        <w:rPr>
          <w:sz w:val="24"/>
          <w:szCs w:val="24"/>
          <w:vertAlign w:val="subscript"/>
          <w:lang w:val="en-US"/>
        </w:rPr>
        <w:t>air</w:t>
      </w:r>
      <w:proofErr w:type="spellEnd"/>
      <w:r w:rsidR="0038710D">
        <w:rPr>
          <w:sz w:val="24"/>
          <w:szCs w:val="24"/>
          <w:lang w:val="en-US"/>
        </w:rPr>
        <w:t>.</w:t>
      </w:r>
    </w:p>
    <w:p w:rsidR="00AB66B5" w:rsidRPr="00051233" w:rsidRDefault="00066951">
      <w:pPr>
        <w:rPr>
          <w:b/>
          <w:sz w:val="24"/>
          <w:szCs w:val="24"/>
          <w:lang w:val="en-US"/>
        </w:rPr>
      </w:pPr>
      <w:proofErr w:type="gramStart"/>
      <w:r w:rsidRPr="00051233">
        <w:rPr>
          <w:b/>
          <w:sz w:val="24"/>
          <w:szCs w:val="24"/>
          <w:lang w:val="en-US"/>
        </w:rPr>
        <w:t>3  Transfer</w:t>
      </w:r>
      <w:proofErr w:type="gramEnd"/>
      <w:r w:rsidRPr="00051233">
        <w:rPr>
          <w:b/>
          <w:sz w:val="24"/>
          <w:szCs w:val="24"/>
          <w:lang w:val="en-US"/>
        </w:rPr>
        <w:t xml:space="preserve"> ionization chambers and </w:t>
      </w:r>
      <w:r w:rsidR="00DA01FC" w:rsidRPr="00051233">
        <w:rPr>
          <w:b/>
          <w:sz w:val="24"/>
          <w:szCs w:val="24"/>
          <w:lang w:val="en-US"/>
        </w:rPr>
        <w:t xml:space="preserve">measurement of </w:t>
      </w:r>
      <w:r w:rsidR="00E751EA">
        <w:rPr>
          <w:b/>
          <w:sz w:val="24"/>
          <w:szCs w:val="24"/>
          <w:lang w:val="en-US"/>
        </w:rPr>
        <w:t>charge</w:t>
      </w:r>
      <w:r w:rsidRPr="00051233">
        <w:rPr>
          <w:b/>
          <w:sz w:val="24"/>
          <w:szCs w:val="24"/>
          <w:lang w:val="en-US"/>
        </w:rPr>
        <w:t xml:space="preserve"> ratios</w:t>
      </w:r>
    </w:p>
    <w:p w:rsidR="00E215AB" w:rsidRDefault="00066951">
      <w:pPr>
        <w:rPr>
          <w:sz w:val="24"/>
          <w:szCs w:val="24"/>
          <w:lang w:val="en-US"/>
        </w:rPr>
      </w:pPr>
      <w:r>
        <w:rPr>
          <w:sz w:val="24"/>
          <w:szCs w:val="24"/>
          <w:lang w:val="en-US"/>
        </w:rPr>
        <w:t xml:space="preserve">The initial plan was to use two </w:t>
      </w:r>
      <w:r w:rsidR="0002020E">
        <w:rPr>
          <w:sz w:val="24"/>
          <w:szCs w:val="24"/>
          <w:lang w:val="en-US"/>
        </w:rPr>
        <w:t xml:space="preserve">waterproof </w:t>
      </w:r>
      <w:r>
        <w:rPr>
          <w:sz w:val="24"/>
          <w:szCs w:val="24"/>
          <w:lang w:val="en-US"/>
        </w:rPr>
        <w:t xml:space="preserve">parallel-plate chambers constructed at the BIPM, similar in design to the primary standard for air kerma in </w:t>
      </w:r>
      <w:r w:rsidRPr="00066951">
        <w:rPr>
          <w:sz w:val="24"/>
          <w:szCs w:val="24"/>
          <w:vertAlign w:val="superscript"/>
          <w:lang w:val="en-US"/>
        </w:rPr>
        <w:t>60</w:t>
      </w:r>
      <w:r w:rsidR="000F1D29">
        <w:rPr>
          <w:sz w:val="24"/>
          <w:szCs w:val="24"/>
          <w:lang w:val="en-US"/>
        </w:rPr>
        <w:t xml:space="preserve">Co radiation, </w:t>
      </w:r>
      <w:r>
        <w:rPr>
          <w:sz w:val="24"/>
          <w:szCs w:val="24"/>
          <w:lang w:val="en-US"/>
        </w:rPr>
        <w:t xml:space="preserve">one constructed from graphite and the other from air-equivalent plastic. </w:t>
      </w:r>
      <w:r w:rsidR="000F1D29">
        <w:rPr>
          <w:sz w:val="24"/>
          <w:szCs w:val="24"/>
          <w:lang w:val="en-US"/>
        </w:rPr>
        <w:t>However</w:t>
      </w:r>
      <w:r w:rsidR="00E215AB">
        <w:rPr>
          <w:sz w:val="24"/>
          <w:szCs w:val="24"/>
          <w:lang w:val="en-US"/>
        </w:rPr>
        <w:t>, these chambers were found to be unsuitable, firstly because the radial non-uniformity correction in water approached 2 % and secondly because the air-</w:t>
      </w:r>
      <w:proofErr w:type="spellStart"/>
      <w:r w:rsidR="00E215AB">
        <w:rPr>
          <w:sz w:val="24"/>
          <w:szCs w:val="24"/>
          <w:lang w:val="en-US"/>
        </w:rPr>
        <w:t>kerma</w:t>
      </w:r>
      <w:proofErr w:type="spellEnd"/>
      <w:r w:rsidR="00E215AB">
        <w:rPr>
          <w:sz w:val="24"/>
          <w:szCs w:val="24"/>
          <w:lang w:val="en-US"/>
        </w:rPr>
        <w:t xml:space="preserve"> calibration coefficient </w:t>
      </w:r>
      <w:proofErr w:type="spellStart"/>
      <w:r w:rsidR="00E215AB" w:rsidRPr="00E215AB">
        <w:rPr>
          <w:i/>
          <w:sz w:val="24"/>
          <w:szCs w:val="24"/>
          <w:lang w:val="en-US"/>
        </w:rPr>
        <w:t>N</w:t>
      </w:r>
      <w:r w:rsidR="00E215AB" w:rsidRPr="00E215AB">
        <w:rPr>
          <w:i/>
          <w:sz w:val="24"/>
          <w:szCs w:val="24"/>
          <w:vertAlign w:val="subscript"/>
          <w:lang w:val="en-US"/>
        </w:rPr>
        <w:t>K</w:t>
      </w:r>
      <w:proofErr w:type="gramStart"/>
      <w:r w:rsidR="00E215AB">
        <w:rPr>
          <w:sz w:val="24"/>
          <w:szCs w:val="24"/>
          <w:vertAlign w:val="subscript"/>
          <w:lang w:val="en-US"/>
        </w:rPr>
        <w:t>,</w:t>
      </w:r>
      <w:r w:rsidR="00E215AB" w:rsidRPr="00E215AB">
        <w:rPr>
          <w:sz w:val="24"/>
          <w:szCs w:val="24"/>
          <w:vertAlign w:val="subscript"/>
          <w:lang w:val="en-US"/>
        </w:rPr>
        <w:t>air</w:t>
      </w:r>
      <w:proofErr w:type="spellEnd"/>
      <w:proofErr w:type="gramEnd"/>
      <w:r w:rsidR="00E215AB">
        <w:rPr>
          <w:sz w:val="24"/>
          <w:szCs w:val="24"/>
          <w:lang w:val="en-US"/>
        </w:rPr>
        <w:t xml:space="preserve">  changed by around 20 % over the range from 100 kV to 250 kV. </w:t>
      </w:r>
    </w:p>
    <w:p w:rsidR="00066951" w:rsidRDefault="007A6B96">
      <w:pPr>
        <w:rPr>
          <w:sz w:val="24"/>
          <w:szCs w:val="24"/>
          <w:lang w:val="en-US"/>
        </w:rPr>
      </w:pPr>
      <w:r>
        <w:rPr>
          <w:noProof/>
          <w:sz w:val="24"/>
          <w:szCs w:val="24"/>
          <w:lang w:val="en-US"/>
        </w:rPr>
        <w:drawing>
          <wp:anchor distT="0" distB="0" distL="114300" distR="114300" simplePos="0" relativeHeight="251659264" behindDoc="1" locked="0" layoutInCell="1" allowOverlap="1" wp14:anchorId="7876BD6E" wp14:editId="7E4E12F4">
            <wp:simplePos x="0" y="0"/>
            <wp:positionH relativeFrom="column">
              <wp:posOffset>3364865</wp:posOffset>
            </wp:positionH>
            <wp:positionV relativeFrom="paragraph">
              <wp:posOffset>1400175</wp:posOffset>
            </wp:positionV>
            <wp:extent cx="2381885" cy="3498215"/>
            <wp:effectExtent l="19050" t="19050" r="18415" b="26035"/>
            <wp:wrapTight wrapText="bothSides">
              <wp:wrapPolygon edited="0">
                <wp:start x="-173" y="-118"/>
                <wp:lineTo x="-173" y="21643"/>
                <wp:lineTo x="21594" y="21643"/>
                <wp:lineTo x="21594" y="-118"/>
                <wp:lineTo x="-173" y="-118"/>
              </wp:wrapPolygon>
            </wp:wrapTight>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ter phant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81885" cy="349821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E215AB">
        <w:rPr>
          <w:sz w:val="24"/>
          <w:szCs w:val="24"/>
          <w:lang w:val="en-US"/>
        </w:rPr>
        <w:t>In</w:t>
      </w:r>
      <w:r w:rsidR="0002020E">
        <w:rPr>
          <w:sz w:val="24"/>
          <w:szCs w:val="24"/>
          <w:lang w:val="en-US"/>
        </w:rPr>
        <w:t>stead</w:t>
      </w:r>
      <w:r w:rsidR="00E215AB">
        <w:rPr>
          <w:sz w:val="24"/>
          <w:szCs w:val="24"/>
          <w:lang w:val="en-US"/>
        </w:rPr>
        <w:t xml:space="preserve">, two </w:t>
      </w:r>
      <w:r w:rsidR="00066951">
        <w:rPr>
          <w:sz w:val="24"/>
          <w:szCs w:val="24"/>
          <w:lang w:val="en-US"/>
        </w:rPr>
        <w:t xml:space="preserve">commercial </w:t>
      </w:r>
      <w:r w:rsidR="00BF1609">
        <w:rPr>
          <w:sz w:val="24"/>
          <w:szCs w:val="24"/>
          <w:lang w:val="en-US"/>
        </w:rPr>
        <w:t>chamber types have been</w:t>
      </w:r>
      <w:r w:rsidR="00E215AB">
        <w:rPr>
          <w:sz w:val="24"/>
          <w:szCs w:val="24"/>
          <w:lang w:val="en-US"/>
        </w:rPr>
        <w:t xml:space="preserve"> used; an </w:t>
      </w:r>
      <w:r w:rsidR="00EC1192">
        <w:rPr>
          <w:sz w:val="24"/>
          <w:szCs w:val="24"/>
          <w:lang w:val="en-US"/>
        </w:rPr>
        <w:t>Exradin A12</w:t>
      </w:r>
      <w:r w:rsidR="00066951">
        <w:rPr>
          <w:sz w:val="24"/>
          <w:szCs w:val="24"/>
          <w:lang w:val="en-US"/>
        </w:rPr>
        <w:t xml:space="preserve"> chamber</w:t>
      </w:r>
      <w:r w:rsidR="00E215AB">
        <w:rPr>
          <w:sz w:val="24"/>
          <w:szCs w:val="24"/>
          <w:lang w:val="en-US"/>
        </w:rPr>
        <w:t xml:space="preserve">, for which </w:t>
      </w:r>
      <w:proofErr w:type="spellStart"/>
      <w:r w:rsidR="00E215AB" w:rsidRPr="00E215AB">
        <w:rPr>
          <w:i/>
          <w:sz w:val="24"/>
          <w:szCs w:val="24"/>
          <w:lang w:val="en-US"/>
        </w:rPr>
        <w:t>N</w:t>
      </w:r>
      <w:r w:rsidR="00E215AB" w:rsidRPr="00E215AB">
        <w:rPr>
          <w:i/>
          <w:sz w:val="24"/>
          <w:szCs w:val="24"/>
          <w:vertAlign w:val="subscript"/>
          <w:lang w:val="en-US"/>
        </w:rPr>
        <w:t>K</w:t>
      </w:r>
      <w:proofErr w:type="gramStart"/>
      <w:r w:rsidR="00E215AB" w:rsidRPr="00E215AB">
        <w:rPr>
          <w:sz w:val="24"/>
          <w:szCs w:val="24"/>
          <w:vertAlign w:val="subscript"/>
          <w:lang w:val="en-US"/>
        </w:rPr>
        <w:t>,air</w:t>
      </w:r>
      <w:proofErr w:type="spellEnd"/>
      <w:proofErr w:type="gramEnd"/>
      <w:r w:rsidR="00E215AB">
        <w:rPr>
          <w:sz w:val="24"/>
          <w:szCs w:val="24"/>
          <w:lang w:val="en-US"/>
        </w:rPr>
        <w:t xml:space="preserve"> is constant to within 1 % over the range of interest, and a </w:t>
      </w:r>
      <w:r w:rsidR="002613E2">
        <w:rPr>
          <w:sz w:val="24"/>
          <w:szCs w:val="24"/>
          <w:lang w:val="en-US"/>
        </w:rPr>
        <w:t>PTW30013</w:t>
      </w:r>
      <w:r w:rsidR="00E215AB">
        <w:rPr>
          <w:sz w:val="24"/>
          <w:szCs w:val="24"/>
          <w:lang w:val="en-US"/>
        </w:rPr>
        <w:t xml:space="preserve"> chamber</w:t>
      </w:r>
      <w:r w:rsidR="00EC1192">
        <w:rPr>
          <w:sz w:val="24"/>
          <w:szCs w:val="24"/>
          <w:lang w:val="en-US"/>
        </w:rPr>
        <w:t>, with a response that changes by only 0.2 % over this range</w:t>
      </w:r>
      <w:r w:rsidR="002613E2">
        <w:rPr>
          <w:sz w:val="24"/>
          <w:szCs w:val="24"/>
          <w:lang w:val="en-US"/>
        </w:rPr>
        <w:t>. I</w:t>
      </w:r>
      <w:r w:rsidR="009A7F69">
        <w:rPr>
          <w:sz w:val="24"/>
          <w:szCs w:val="24"/>
          <w:lang w:val="en-US"/>
        </w:rPr>
        <w:t>n</w:t>
      </w:r>
      <w:r w:rsidR="00EC1192">
        <w:rPr>
          <w:sz w:val="24"/>
          <w:szCs w:val="24"/>
          <w:lang w:val="en-US"/>
        </w:rPr>
        <w:t xml:space="preserve"> fact, three PTW30013</w:t>
      </w:r>
      <w:r w:rsidR="002613E2">
        <w:rPr>
          <w:sz w:val="24"/>
          <w:szCs w:val="24"/>
          <w:lang w:val="en-US"/>
        </w:rPr>
        <w:t xml:space="preserve"> chambers, kindly on loan from the PTB, we</w:t>
      </w:r>
      <w:r w:rsidR="009A7F69">
        <w:rPr>
          <w:sz w:val="24"/>
          <w:szCs w:val="24"/>
          <w:lang w:val="en-US"/>
        </w:rPr>
        <w:t>re</w:t>
      </w:r>
      <w:r w:rsidR="002613E2">
        <w:rPr>
          <w:sz w:val="24"/>
          <w:szCs w:val="24"/>
          <w:lang w:val="en-US"/>
        </w:rPr>
        <w:t xml:space="preserve"> used to assess the chamber-to-chamber reproducibility of the </w:t>
      </w:r>
      <w:proofErr w:type="spellStart"/>
      <w:r w:rsidR="00E751EA">
        <w:rPr>
          <w:i/>
          <w:sz w:val="24"/>
          <w:szCs w:val="24"/>
          <w:lang w:val="en-US"/>
        </w:rPr>
        <w:t>Q</w:t>
      </w:r>
      <w:r w:rsidR="002613E2" w:rsidRPr="009A7F69">
        <w:rPr>
          <w:sz w:val="24"/>
          <w:szCs w:val="24"/>
          <w:vertAlign w:val="subscript"/>
          <w:lang w:val="en-US"/>
        </w:rPr>
        <w:t>w</w:t>
      </w:r>
      <w:proofErr w:type="spellEnd"/>
      <w:r w:rsidR="002613E2">
        <w:rPr>
          <w:sz w:val="24"/>
          <w:szCs w:val="24"/>
          <w:lang w:val="en-US"/>
        </w:rPr>
        <w:t>/</w:t>
      </w:r>
      <w:proofErr w:type="spellStart"/>
      <w:r w:rsidR="00E751EA">
        <w:rPr>
          <w:i/>
          <w:sz w:val="24"/>
          <w:szCs w:val="24"/>
          <w:lang w:val="en-US"/>
        </w:rPr>
        <w:t>Q</w:t>
      </w:r>
      <w:r w:rsidR="002613E2" w:rsidRPr="009A7F69">
        <w:rPr>
          <w:sz w:val="24"/>
          <w:szCs w:val="24"/>
          <w:vertAlign w:val="subscript"/>
          <w:lang w:val="en-US"/>
        </w:rPr>
        <w:t>air</w:t>
      </w:r>
      <w:proofErr w:type="spellEnd"/>
      <w:r w:rsidR="001760D3">
        <w:rPr>
          <w:sz w:val="24"/>
          <w:szCs w:val="24"/>
          <w:lang w:val="en-US"/>
        </w:rPr>
        <w:t xml:space="preserve"> ratio for a</w:t>
      </w:r>
      <w:r w:rsidR="002613E2">
        <w:rPr>
          <w:sz w:val="24"/>
          <w:szCs w:val="24"/>
          <w:lang w:val="en-US"/>
        </w:rPr>
        <w:t xml:space="preserve"> given chamber type</w:t>
      </w:r>
      <w:r w:rsidR="009A7F69">
        <w:rPr>
          <w:sz w:val="24"/>
          <w:szCs w:val="24"/>
          <w:lang w:val="en-US"/>
        </w:rPr>
        <w:t>.  T</w:t>
      </w:r>
      <w:r w:rsidR="002613E2">
        <w:rPr>
          <w:sz w:val="24"/>
          <w:szCs w:val="24"/>
          <w:lang w:val="en-US"/>
        </w:rPr>
        <w:t>he result of this</w:t>
      </w:r>
      <w:r w:rsidR="009A7F69">
        <w:rPr>
          <w:sz w:val="24"/>
          <w:szCs w:val="24"/>
          <w:lang w:val="en-US"/>
        </w:rPr>
        <w:t xml:space="preserve"> test was a standard deviation in the ratio </w:t>
      </w:r>
      <w:proofErr w:type="spellStart"/>
      <w:r w:rsidR="00E751EA">
        <w:rPr>
          <w:i/>
          <w:sz w:val="24"/>
          <w:szCs w:val="24"/>
          <w:lang w:val="en-US"/>
        </w:rPr>
        <w:t>Q</w:t>
      </w:r>
      <w:r w:rsidR="009A7F69" w:rsidRPr="009A7F69">
        <w:rPr>
          <w:sz w:val="24"/>
          <w:szCs w:val="24"/>
          <w:vertAlign w:val="subscript"/>
          <w:lang w:val="en-US"/>
        </w:rPr>
        <w:t>w</w:t>
      </w:r>
      <w:proofErr w:type="spellEnd"/>
      <w:r w:rsidR="009A7F69">
        <w:rPr>
          <w:sz w:val="24"/>
          <w:szCs w:val="24"/>
          <w:lang w:val="en-US"/>
        </w:rPr>
        <w:t>/</w:t>
      </w:r>
      <w:proofErr w:type="spellStart"/>
      <w:r w:rsidR="00E751EA">
        <w:rPr>
          <w:i/>
          <w:sz w:val="24"/>
          <w:szCs w:val="24"/>
          <w:lang w:val="en-US"/>
        </w:rPr>
        <w:t>Q</w:t>
      </w:r>
      <w:r w:rsidR="009A7F69" w:rsidRPr="009A7F69">
        <w:rPr>
          <w:sz w:val="24"/>
          <w:szCs w:val="24"/>
          <w:vertAlign w:val="subscript"/>
          <w:lang w:val="en-US"/>
        </w:rPr>
        <w:t>air</w:t>
      </w:r>
      <w:proofErr w:type="spellEnd"/>
      <w:r w:rsidR="009A7F69">
        <w:rPr>
          <w:sz w:val="24"/>
          <w:szCs w:val="24"/>
          <w:lang w:val="en-US"/>
        </w:rPr>
        <w:t xml:space="preserve"> </w:t>
      </w:r>
      <w:r w:rsidR="001760D3">
        <w:rPr>
          <w:sz w:val="24"/>
          <w:szCs w:val="24"/>
          <w:lang w:val="en-US"/>
        </w:rPr>
        <w:t>of</w:t>
      </w:r>
      <w:r w:rsidR="00F74FBB">
        <w:rPr>
          <w:sz w:val="24"/>
          <w:szCs w:val="24"/>
          <w:lang w:val="en-US"/>
        </w:rPr>
        <w:t xml:space="preserve"> typically 0.06</w:t>
      </w:r>
      <w:r w:rsidR="007C40AA">
        <w:rPr>
          <w:sz w:val="24"/>
          <w:szCs w:val="24"/>
          <w:lang w:val="en-US"/>
        </w:rPr>
        <w:t> %</w:t>
      </w:r>
      <w:r w:rsidR="002613E2">
        <w:rPr>
          <w:sz w:val="24"/>
          <w:szCs w:val="24"/>
          <w:lang w:val="en-US"/>
        </w:rPr>
        <w:t>.</w:t>
      </w:r>
    </w:p>
    <w:p w:rsidR="001760D3" w:rsidRDefault="00510372">
      <w:pPr>
        <w:rPr>
          <w:sz w:val="24"/>
          <w:szCs w:val="24"/>
          <w:lang w:val="en-US"/>
        </w:rPr>
      </w:pPr>
      <w:r>
        <w:rPr>
          <w:noProof/>
          <w:lang w:val="en-US"/>
        </w:rPr>
        <mc:AlternateContent>
          <mc:Choice Requires="wps">
            <w:drawing>
              <wp:anchor distT="0" distB="0" distL="114300" distR="114300" simplePos="0" relativeHeight="251661312" behindDoc="0" locked="0" layoutInCell="1" allowOverlap="1" wp14:anchorId="4AA8372F" wp14:editId="3259E0AA">
                <wp:simplePos x="0" y="0"/>
                <wp:positionH relativeFrom="column">
                  <wp:posOffset>3364865</wp:posOffset>
                </wp:positionH>
                <wp:positionV relativeFrom="paragraph">
                  <wp:posOffset>3554730</wp:posOffset>
                </wp:positionV>
                <wp:extent cx="2381885" cy="899160"/>
                <wp:effectExtent l="0" t="0" r="0" b="0"/>
                <wp:wrapTight wrapText="bothSides">
                  <wp:wrapPolygon edited="0">
                    <wp:start x="0" y="0"/>
                    <wp:lineTo x="0" y="21051"/>
                    <wp:lineTo x="21421" y="21051"/>
                    <wp:lineTo x="21421" y="0"/>
                    <wp:lineTo x="0" y="0"/>
                  </wp:wrapPolygon>
                </wp:wrapTight>
                <wp:docPr id="1" name="Zone de texte 1"/>
                <wp:cNvGraphicFramePr/>
                <a:graphic xmlns:a="http://schemas.openxmlformats.org/drawingml/2006/main">
                  <a:graphicData uri="http://schemas.microsoft.com/office/word/2010/wordprocessingShape">
                    <wps:wsp>
                      <wps:cNvSpPr txBox="1"/>
                      <wps:spPr>
                        <a:xfrm>
                          <a:off x="0" y="0"/>
                          <a:ext cx="2381885" cy="899160"/>
                        </a:xfrm>
                        <a:prstGeom prst="rect">
                          <a:avLst/>
                        </a:prstGeom>
                        <a:solidFill>
                          <a:prstClr val="white"/>
                        </a:solidFill>
                        <a:ln>
                          <a:noFill/>
                        </a:ln>
                        <a:effectLst/>
                      </wps:spPr>
                      <wps:txbx>
                        <w:txbxContent>
                          <w:p w:rsidR="004D7C02" w:rsidRPr="00510372" w:rsidRDefault="004D7C02" w:rsidP="00510372">
                            <w:pPr>
                              <w:pStyle w:val="Caption"/>
                              <w:rPr>
                                <w:b w:val="0"/>
                                <w:noProof/>
                                <w:color w:val="auto"/>
                                <w:sz w:val="22"/>
                                <w:szCs w:val="22"/>
                                <w:lang w:val="en-US"/>
                              </w:rPr>
                            </w:pPr>
                            <w:proofErr w:type="gramStart"/>
                            <w:r w:rsidRPr="00510372">
                              <w:rPr>
                                <w:color w:val="auto"/>
                                <w:sz w:val="22"/>
                                <w:szCs w:val="22"/>
                                <w:lang w:val="en-US"/>
                              </w:rPr>
                              <w:t xml:space="preserve">Figure </w:t>
                            </w:r>
                            <w:r w:rsidRPr="00510372">
                              <w:rPr>
                                <w:color w:val="auto"/>
                                <w:sz w:val="22"/>
                                <w:szCs w:val="22"/>
                              </w:rPr>
                              <w:fldChar w:fldCharType="begin"/>
                            </w:r>
                            <w:r w:rsidRPr="00510372">
                              <w:rPr>
                                <w:color w:val="auto"/>
                                <w:sz w:val="22"/>
                                <w:szCs w:val="22"/>
                                <w:lang w:val="en-US"/>
                              </w:rPr>
                              <w:instrText xml:space="preserve"> SEQ Figure \* ARABIC </w:instrText>
                            </w:r>
                            <w:r w:rsidRPr="00510372">
                              <w:rPr>
                                <w:color w:val="auto"/>
                                <w:sz w:val="22"/>
                                <w:szCs w:val="22"/>
                              </w:rPr>
                              <w:fldChar w:fldCharType="separate"/>
                            </w:r>
                            <w:r w:rsidR="00DA68A2">
                              <w:rPr>
                                <w:noProof/>
                                <w:color w:val="auto"/>
                                <w:sz w:val="22"/>
                                <w:szCs w:val="22"/>
                                <w:lang w:val="en-US"/>
                              </w:rPr>
                              <w:t>1</w:t>
                            </w:r>
                            <w:r w:rsidRPr="00510372">
                              <w:rPr>
                                <w:color w:val="auto"/>
                                <w:sz w:val="22"/>
                                <w:szCs w:val="22"/>
                              </w:rPr>
                              <w:fldChar w:fldCharType="end"/>
                            </w:r>
                            <w:r w:rsidRPr="00510372">
                              <w:rPr>
                                <w:color w:val="auto"/>
                                <w:sz w:val="22"/>
                                <w:szCs w:val="22"/>
                                <w:lang w:val="en-US"/>
                              </w:rPr>
                              <w:t>.</w:t>
                            </w:r>
                            <w:proofErr w:type="gramEnd"/>
                            <w:r w:rsidRPr="00510372">
                              <w:rPr>
                                <w:b w:val="0"/>
                                <w:color w:val="auto"/>
                                <w:sz w:val="22"/>
                                <w:szCs w:val="22"/>
                                <w:lang w:val="en-US"/>
                              </w:rPr>
                              <w:t xml:space="preserve"> </w:t>
                            </w:r>
                            <w:proofErr w:type="gramStart"/>
                            <w:r>
                              <w:rPr>
                                <w:b w:val="0"/>
                                <w:color w:val="auto"/>
                                <w:sz w:val="22"/>
                                <w:szCs w:val="22"/>
                                <w:lang w:val="en-US"/>
                              </w:rPr>
                              <w:t>The Exradin A12 t</w:t>
                            </w:r>
                            <w:r w:rsidRPr="00510372">
                              <w:rPr>
                                <w:b w:val="0"/>
                                <w:color w:val="auto"/>
                                <w:sz w:val="22"/>
                                <w:szCs w:val="22"/>
                                <w:lang w:val="en-US"/>
                              </w:rPr>
                              <w:t>ransfer chamber in the raised water phantom.</w:t>
                            </w:r>
                            <w:proofErr w:type="gramEnd"/>
                            <w:r>
                              <w:rPr>
                                <w:b w:val="0"/>
                                <w:color w:val="auto"/>
                                <w:sz w:val="22"/>
                                <w:szCs w:val="22"/>
                                <w:lang w:val="en-US"/>
                              </w:rPr>
                              <w:t xml:space="preserve"> The axial positions of the chamber and phantom are independently set at the 0.02 mm level.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64.95pt;margin-top:279.9pt;width:187.55pt;height:7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" stroked="f">
                <v:textbox inset="0,0,0,0">
                  <w:txbxContent>
                    <w:p w:rsidR="004D7C02" w:rsidRPr="00510372" w:rsidRDefault="004D7C02" w:rsidP="00510372">
                      <w:pPr>
                        <w:pStyle w:val="Lgende"/>
                        <w:rPr>
                          <w:b w:val="0"/>
                          <w:noProof/>
                          <w:color w:val="auto"/>
                          <w:sz w:val="22"/>
                          <w:szCs w:val="22"/>
                          <w:lang w:val="en-US"/>
                        </w:rPr>
                      </w:pPr>
                      <w:proofErr w:type="gramStart"/>
                      <w:r w:rsidRPr="00510372">
                        <w:rPr>
                          <w:color w:val="auto"/>
                          <w:sz w:val="22"/>
                          <w:szCs w:val="22"/>
                          <w:lang w:val="en-US"/>
                        </w:rPr>
                        <w:t xml:space="preserve">Figure </w:t>
                      </w:r>
                      <w:proofErr w:type="gramEnd"/>
                      <w:r w:rsidRPr="00510372">
                        <w:rPr>
                          <w:color w:val="auto"/>
                          <w:sz w:val="22"/>
                          <w:szCs w:val="22"/>
                        </w:rPr>
                        <w:fldChar w:fldCharType="begin"/>
                      </w:r>
                      <w:r w:rsidRPr="00510372">
                        <w:rPr>
                          <w:color w:val="auto"/>
                          <w:sz w:val="22"/>
                          <w:szCs w:val="22"/>
                          <w:lang w:val="en-US"/>
                        </w:rPr>
                        <w:instrText xml:space="preserve"> SEQ Figure \* ARABIC </w:instrText>
                      </w:r>
                      <w:r w:rsidRPr="00510372">
                        <w:rPr>
                          <w:color w:val="auto"/>
                          <w:sz w:val="22"/>
                          <w:szCs w:val="22"/>
                        </w:rPr>
                        <w:fldChar w:fldCharType="separate"/>
                      </w:r>
                      <w:r w:rsidR="00DA68A2">
                        <w:rPr>
                          <w:noProof/>
                          <w:color w:val="auto"/>
                          <w:sz w:val="22"/>
                          <w:szCs w:val="22"/>
                          <w:lang w:val="en-US"/>
                        </w:rPr>
                        <w:t>1</w:t>
                      </w:r>
                      <w:r w:rsidRPr="00510372">
                        <w:rPr>
                          <w:color w:val="auto"/>
                          <w:sz w:val="22"/>
                          <w:szCs w:val="22"/>
                        </w:rPr>
                        <w:fldChar w:fldCharType="end"/>
                      </w:r>
                      <w:proofErr w:type="gramStart"/>
                      <w:r w:rsidRPr="00510372">
                        <w:rPr>
                          <w:color w:val="auto"/>
                          <w:sz w:val="22"/>
                          <w:szCs w:val="22"/>
                          <w:lang w:val="en-US"/>
                        </w:rPr>
                        <w:t>.</w:t>
                      </w:r>
                      <w:proofErr w:type="gramEnd"/>
                      <w:r w:rsidRPr="00510372">
                        <w:rPr>
                          <w:b w:val="0"/>
                          <w:color w:val="auto"/>
                          <w:sz w:val="22"/>
                          <w:szCs w:val="22"/>
                          <w:lang w:val="en-US"/>
                        </w:rPr>
                        <w:t xml:space="preserve"> </w:t>
                      </w:r>
                      <w:proofErr w:type="gramStart"/>
                      <w:r>
                        <w:rPr>
                          <w:b w:val="0"/>
                          <w:color w:val="auto"/>
                          <w:sz w:val="22"/>
                          <w:szCs w:val="22"/>
                          <w:lang w:val="en-US"/>
                        </w:rPr>
                        <w:t>The Exradin A12 t</w:t>
                      </w:r>
                      <w:r w:rsidRPr="00510372">
                        <w:rPr>
                          <w:b w:val="0"/>
                          <w:color w:val="auto"/>
                          <w:sz w:val="22"/>
                          <w:szCs w:val="22"/>
                          <w:lang w:val="en-US"/>
                        </w:rPr>
                        <w:t>ransfer chamber in the raised water phantom.</w:t>
                      </w:r>
                      <w:proofErr w:type="gramEnd"/>
                      <w:r>
                        <w:rPr>
                          <w:b w:val="0"/>
                          <w:color w:val="auto"/>
                          <w:sz w:val="22"/>
                          <w:szCs w:val="22"/>
                          <w:lang w:val="en-US"/>
                        </w:rPr>
                        <w:t xml:space="preserve"> The axial positions of the chamber and phantom are independently set at the 0.02 mm level.</w:t>
                      </w:r>
                    </w:p>
                  </w:txbxContent>
                </v:textbox>
                <w10:wrap type="tight"/>
              </v:shape>
            </w:pict>
          </mc:Fallback>
        </mc:AlternateContent>
      </w:r>
      <w:r w:rsidR="0012792C">
        <w:rPr>
          <w:sz w:val="24"/>
          <w:szCs w:val="24"/>
          <w:lang w:val="en-US"/>
        </w:rPr>
        <w:t>The reproducibility</w:t>
      </w:r>
      <w:r w:rsidR="001760D3">
        <w:rPr>
          <w:sz w:val="24"/>
          <w:szCs w:val="24"/>
          <w:lang w:val="en-US"/>
        </w:rPr>
        <w:t xml:space="preserve"> of</w:t>
      </w:r>
      <w:r w:rsidR="0012792C">
        <w:rPr>
          <w:sz w:val="24"/>
          <w:szCs w:val="24"/>
          <w:lang w:val="en-US"/>
        </w:rPr>
        <w:t xml:space="preserve"> the</w:t>
      </w:r>
      <w:r w:rsidR="001760D3">
        <w:rPr>
          <w:sz w:val="24"/>
          <w:szCs w:val="24"/>
          <w:lang w:val="en-US"/>
        </w:rPr>
        <w:t xml:space="preserve"> </w:t>
      </w:r>
      <w:proofErr w:type="spellStart"/>
      <w:r w:rsidR="00E751EA">
        <w:rPr>
          <w:i/>
          <w:sz w:val="24"/>
          <w:szCs w:val="24"/>
          <w:lang w:val="en-US"/>
        </w:rPr>
        <w:t>Q</w:t>
      </w:r>
      <w:r w:rsidR="001760D3" w:rsidRPr="001760D3">
        <w:rPr>
          <w:sz w:val="24"/>
          <w:szCs w:val="24"/>
          <w:vertAlign w:val="subscript"/>
          <w:lang w:val="en-US"/>
        </w:rPr>
        <w:t>w</w:t>
      </w:r>
      <w:proofErr w:type="spellEnd"/>
      <w:r w:rsidR="001760D3">
        <w:rPr>
          <w:sz w:val="24"/>
          <w:szCs w:val="24"/>
          <w:lang w:val="en-US"/>
        </w:rPr>
        <w:t>/</w:t>
      </w:r>
      <w:proofErr w:type="spellStart"/>
      <w:r w:rsidR="00E751EA">
        <w:rPr>
          <w:i/>
          <w:sz w:val="24"/>
          <w:szCs w:val="24"/>
          <w:lang w:val="en-US"/>
        </w:rPr>
        <w:t>Q</w:t>
      </w:r>
      <w:r w:rsidR="001760D3" w:rsidRPr="001760D3">
        <w:rPr>
          <w:sz w:val="24"/>
          <w:szCs w:val="24"/>
          <w:vertAlign w:val="subscript"/>
          <w:lang w:val="en-US"/>
        </w:rPr>
        <w:t>air</w:t>
      </w:r>
      <w:proofErr w:type="spellEnd"/>
      <w:r w:rsidR="001760D3">
        <w:rPr>
          <w:sz w:val="24"/>
          <w:szCs w:val="24"/>
          <w:lang w:val="en-US"/>
        </w:rPr>
        <w:t xml:space="preserve"> </w:t>
      </w:r>
      <w:r w:rsidR="0012792C">
        <w:rPr>
          <w:sz w:val="24"/>
          <w:szCs w:val="24"/>
          <w:lang w:val="en-US"/>
        </w:rPr>
        <w:t xml:space="preserve">measurement </w:t>
      </w:r>
      <w:r w:rsidR="001760D3">
        <w:rPr>
          <w:sz w:val="24"/>
          <w:szCs w:val="24"/>
          <w:lang w:val="en-US"/>
        </w:rPr>
        <w:t xml:space="preserve">depends critically on the </w:t>
      </w:r>
      <w:r w:rsidR="0012792C">
        <w:rPr>
          <w:sz w:val="24"/>
          <w:szCs w:val="24"/>
          <w:lang w:val="en-US"/>
        </w:rPr>
        <w:t>positioning</w:t>
      </w:r>
      <w:r w:rsidR="001760D3">
        <w:rPr>
          <w:sz w:val="24"/>
          <w:szCs w:val="24"/>
          <w:lang w:val="en-US"/>
        </w:rPr>
        <w:t xml:space="preserve"> of the chamber in water. The adopted arrangement positions the water phantom on a support that can be</w:t>
      </w:r>
      <w:r w:rsidR="007C40AA">
        <w:rPr>
          <w:sz w:val="24"/>
          <w:szCs w:val="24"/>
          <w:lang w:val="en-US"/>
        </w:rPr>
        <w:t xml:space="preserve"> raised and</w:t>
      </w:r>
      <w:r w:rsidR="001760D3">
        <w:rPr>
          <w:sz w:val="24"/>
          <w:szCs w:val="24"/>
          <w:lang w:val="en-US"/>
        </w:rPr>
        <w:t xml:space="preserve"> </w:t>
      </w:r>
      <w:r w:rsidR="00244255">
        <w:rPr>
          <w:sz w:val="24"/>
          <w:szCs w:val="24"/>
          <w:lang w:val="en-US"/>
        </w:rPr>
        <w:t>lowered</w:t>
      </w:r>
      <w:r>
        <w:rPr>
          <w:sz w:val="24"/>
          <w:szCs w:val="24"/>
          <w:lang w:val="en-US"/>
        </w:rPr>
        <w:t xml:space="preserve"> (see Figure 1)</w:t>
      </w:r>
      <w:r w:rsidR="001760D3">
        <w:rPr>
          <w:sz w:val="24"/>
          <w:szCs w:val="24"/>
          <w:lang w:val="en-US"/>
        </w:rPr>
        <w:t xml:space="preserve">. </w:t>
      </w:r>
      <w:r w:rsidR="00244255">
        <w:rPr>
          <w:sz w:val="24"/>
          <w:szCs w:val="24"/>
          <w:lang w:val="en-US"/>
        </w:rPr>
        <w:t>With the phantom lowered, a</w:t>
      </w:r>
      <w:r w:rsidR="001760D3">
        <w:rPr>
          <w:sz w:val="24"/>
          <w:szCs w:val="24"/>
          <w:lang w:val="en-US"/>
        </w:rPr>
        <w:t xml:space="preserve"> chamber supported from above is positioned in air at </w:t>
      </w:r>
      <w:r w:rsidR="0002020E">
        <w:rPr>
          <w:sz w:val="24"/>
          <w:szCs w:val="24"/>
          <w:lang w:val="en-US"/>
        </w:rPr>
        <w:t xml:space="preserve">the reference </w:t>
      </w:r>
      <w:r w:rsidR="007A6B96">
        <w:rPr>
          <w:sz w:val="24"/>
          <w:szCs w:val="24"/>
          <w:lang w:val="en-US"/>
        </w:rPr>
        <w:t xml:space="preserve">distance </w:t>
      </w:r>
      <w:r w:rsidR="001760D3">
        <w:rPr>
          <w:sz w:val="24"/>
          <w:szCs w:val="24"/>
          <w:lang w:val="en-US"/>
        </w:rPr>
        <w:t>using a fixed micrometer system. The w</w:t>
      </w:r>
      <w:r w:rsidR="00244255">
        <w:rPr>
          <w:sz w:val="24"/>
          <w:szCs w:val="24"/>
          <w:lang w:val="en-US"/>
        </w:rPr>
        <w:t>ater phantom is</w:t>
      </w:r>
      <w:r w:rsidR="001760D3">
        <w:rPr>
          <w:sz w:val="24"/>
          <w:szCs w:val="24"/>
          <w:lang w:val="en-US"/>
        </w:rPr>
        <w:t xml:space="preserve"> then raised to the correct height and </w:t>
      </w:r>
      <w:r w:rsidR="0012792C">
        <w:rPr>
          <w:sz w:val="24"/>
          <w:szCs w:val="24"/>
          <w:lang w:val="en-US"/>
        </w:rPr>
        <w:t>its axial position adjusted so</w:t>
      </w:r>
      <w:r w:rsidR="001760D3">
        <w:rPr>
          <w:sz w:val="24"/>
          <w:szCs w:val="24"/>
          <w:lang w:val="en-US"/>
        </w:rPr>
        <w:t xml:space="preserve"> that the chamber is at 2 g cm</w:t>
      </w:r>
      <w:r w:rsidR="001760D3" w:rsidRPr="001760D3">
        <w:rPr>
          <w:sz w:val="24"/>
          <w:szCs w:val="24"/>
          <w:vertAlign w:val="superscript"/>
          <w:lang w:val="en-US"/>
        </w:rPr>
        <w:t>–2</w:t>
      </w:r>
      <w:r w:rsidR="00244255">
        <w:rPr>
          <w:sz w:val="24"/>
          <w:szCs w:val="24"/>
          <w:lang w:val="en-US"/>
        </w:rPr>
        <w:t>, measured using the same micrometer touching the phantom window. The depth in g cm</w:t>
      </w:r>
      <w:r w:rsidR="00244255" w:rsidRPr="00244255">
        <w:rPr>
          <w:sz w:val="24"/>
          <w:szCs w:val="24"/>
          <w:vertAlign w:val="superscript"/>
          <w:lang w:val="en-US"/>
        </w:rPr>
        <w:t>–2</w:t>
      </w:r>
      <w:r w:rsidR="00244255">
        <w:rPr>
          <w:sz w:val="24"/>
          <w:szCs w:val="24"/>
          <w:lang w:val="en-US"/>
        </w:rPr>
        <w:t xml:space="preserve"> is evaluated taking into account the PMMA window of thickness 1.</w:t>
      </w:r>
      <w:r w:rsidR="002060C6">
        <w:rPr>
          <w:sz w:val="24"/>
          <w:szCs w:val="24"/>
          <w:lang w:val="en-US"/>
        </w:rPr>
        <w:t>677</w:t>
      </w:r>
      <w:r w:rsidR="00244255">
        <w:rPr>
          <w:sz w:val="24"/>
          <w:szCs w:val="24"/>
          <w:lang w:val="en-US"/>
        </w:rPr>
        <w:t> mm and nominal density 1.19</w:t>
      </w:r>
      <w:r w:rsidR="003F7B6F">
        <w:rPr>
          <w:sz w:val="24"/>
          <w:szCs w:val="24"/>
          <w:lang w:val="en-US"/>
        </w:rPr>
        <w:t> g cm</w:t>
      </w:r>
      <w:r w:rsidR="003F7B6F" w:rsidRPr="003F7B6F">
        <w:rPr>
          <w:sz w:val="24"/>
          <w:szCs w:val="24"/>
          <w:vertAlign w:val="superscript"/>
          <w:lang w:val="en-US"/>
        </w:rPr>
        <w:t>–3</w:t>
      </w:r>
      <w:r w:rsidR="00244255">
        <w:rPr>
          <w:sz w:val="24"/>
          <w:szCs w:val="24"/>
          <w:lang w:val="en-US"/>
        </w:rPr>
        <w:t xml:space="preserve"> and the water density of </w:t>
      </w:r>
      <w:r w:rsidR="003F7B6F">
        <w:rPr>
          <w:sz w:val="24"/>
          <w:szCs w:val="24"/>
          <w:lang w:val="en-US"/>
        </w:rPr>
        <w:t>0.9982</w:t>
      </w:r>
      <w:r w:rsidR="00244255">
        <w:rPr>
          <w:sz w:val="24"/>
          <w:szCs w:val="24"/>
          <w:lang w:val="en-US"/>
        </w:rPr>
        <w:t> g cm</w:t>
      </w:r>
      <w:r w:rsidR="00244255" w:rsidRPr="003F7B6F">
        <w:rPr>
          <w:sz w:val="24"/>
          <w:szCs w:val="24"/>
          <w:vertAlign w:val="superscript"/>
          <w:lang w:val="en-US"/>
        </w:rPr>
        <w:t>–3</w:t>
      </w:r>
      <w:r w:rsidR="00244255">
        <w:rPr>
          <w:sz w:val="24"/>
          <w:szCs w:val="24"/>
          <w:lang w:val="en-US"/>
        </w:rPr>
        <w:t xml:space="preserve"> at 20 °C.</w:t>
      </w:r>
      <w:r w:rsidR="003F7B6F">
        <w:rPr>
          <w:sz w:val="24"/>
          <w:szCs w:val="24"/>
          <w:lang w:val="en-US"/>
        </w:rPr>
        <w:t xml:space="preserve"> The reproducibility</w:t>
      </w:r>
      <w:r w:rsidR="00244255">
        <w:rPr>
          <w:sz w:val="24"/>
          <w:szCs w:val="24"/>
          <w:lang w:val="en-US"/>
        </w:rPr>
        <w:t xml:space="preserve"> of the depth posit</w:t>
      </w:r>
      <w:r>
        <w:rPr>
          <w:sz w:val="24"/>
          <w:szCs w:val="24"/>
          <w:lang w:val="en-US"/>
        </w:rPr>
        <w:t xml:space="preserve">ioning is below 0.02 mm and the </w:t>
      </w:r>
      <w:r w:rsidR="00244255">
        <w:rPr>
          <w:sz w:val="24"/>
          <w:szCs w:val="24"/>
          <w:lang w:val="en-US"/>
        </w:rPr>
        <w:t xml:space="preserve">window </w:t>
      </w:r>
      <w:r w:rsidR="007C40AA">
        <w:rPr>
          <w:sz w:val="24"/>
          <w:szCs w:val="24"/>
          <w:lang w:val="en-US"/>
        </w:rPr>
        <w:t xml:space="preserve">position </w:t>
      </w:r>
      <w:r w:rsidR="00244255">
        <w:rPr>
          <w:sz w:val="24"/>
          <w:szCs w:val="24"/>
          <w:lang w:val="en-US"/>
        </w:rPr>
        <w:t>has been shown to be stable in time at the 0.01 mm level.</w:t>
      </w:r>
      <w:r w:rsidR="00DA01FC">
        <w:rPr>
          <w:sz w:val="24"/>
          <w:szCs w:val="24"/>
          <w:lang w:val="en-US"/>
        </w:rPr>
        <w:t xml:space="preserve"> The </w:t>
      </w:r>
      <w:r w:rsidR="00442B5F">
        <w:rPr>
          <w:sz w:val="24"/>
          <w:szCs w:val="24"/>
          <w:lang w:val="en-US"/>
        </w:rPr>
        <w:t xml:space="preserve">results for </w:t>
      </w:r>
      <w:r w:rsidR="00E751EA">
        <w:rPr>
          <w:sz w:val="24"/>
          <w:szCs w:val="24"/>
          <w:lang w:val="en-US"/>
        </w:rPr>
        <w:t>the measured</w:t>
      </w:r>
      <w:r w:rsidR="00DA01FC">
        <w:rPr>
          <w:sz w:val="24"/>
          <w:szCs w:val="24"/>
          <w:lang w:val="en-US"/>
        </w:rPr>
        <w:t xml:space="preserve"> </w:t>
      </w:r>
      <w:r w:rsidR="00E751EA">
        <w:rPr>
          <w:sz w:val="24"/>
          <w:szCs w:val="24"/>
          <w:lang w:val="en-US"/>
        </w:rPr>
        <w:t xml:space="preserve">charge </w:t>
      </w:r>
      <w:r w:rsidR="00DA01FC">
        <w:rPr>
          <w:sz w:val="24"/>
          <w:szCs w:val="24"/>
          <w:lang w:val="en-US"/>
        </w:rPr>
        <w:t>ratios are included in Table 1.</w:t>
      </w:r>
    </w:p>
    <w:p w:rsidR="005A3DE8" w:rsidRPr="00051233" w:rsidRDefault="00DA01FC">
      <w:pPr>
        <w:rPr>
          <w:b/>
          <w:sz w:val="24"/>
          <w:szCs w:val="24"/>
          <w:lang w:val="en-US"/>
        </w:rPr>
      </w:pPr>
      <w:proofErr w:type="gramStart"/>
      <w:r w:rsidRPr="00051233">
        <w:rPr>
          <w:b/>
          <w:sz w:val="24"/>
          <w:szCs w:val="24"/>
          <w:lang w:val="en-US"/>
        </w:rPr>
        <w:lastRenderedPageBreak/>
        <w:t>4  Monte</w:t>
      </w:r>
      <w:proofErr w:type="gramEnd"/>
      <w:r w:rsidRPr="00051233">
        <w:rPr>
          <w:b/>
          <w:sz w:val="24"/>
          <w:szCs w:val="24"/>
          <w:lang w:val="en-US"/>
        </w:rPr>
        <w:t xml:space="preserve"> Carlo calculations</w:t>
      </w:r>
    </w:p>
    <w:p w:rsidR="0097041B" w:rsidRDefault="00DA01FC">
      <w:pPr>
        <w:rPr>
          <w:sz w:val="24"/>
          <w:szCs w:val="24"/>
          <w:lang w:val="en-US"/>
        </w:rPr>
      </w:pPr>
      <w:r>
        <w:rPr>
          <w:sz w:val="24"/>
          <w:szCs w:val="24"/>
          <w:lang w:val="en-US"/>
        </w:rPr>
        <w:t xml:space="preserve">The calculations were </w:t>
      </w:r>
      <w:r w:rsidR="00471059">
        <w:rPr>
          <w:sz w:val="24"/>
          <w:szCs w:val="24"/>
          <w:lang w:val="en-US"/>
        </w:rPr>
        <w:t xml:space="preserve">made using the PENELOPE code (Salvat </w:t>
      </w:r>
      <w:r w:rsidR="00471059" w:rsidRPr="00BB6698">
        <w:rPr>
          <w:i/>
          <w:sz w:val="24"/>
          <w:szCs w:val="24"/>
          <w:lang w:val="en-US"/>
        </w:rPr>
        <w:t>et al</w:t>
      </w:r>
      <w:r w:rsidR="00EF39C6">
        <w:rPr>
          <w:sz w:val="24"/>
          <w:szCs w:val="24"/>
          <w:lang w:val="en-US"/>
        </w:rPr>
        <w:t xml:space="preserve"> 2009</w:t>
      </w:r>
      <w:r>
        <w:rPr>
          <w:sz w:val="24"/>
          <w:szCs w:val="24"/>
          <w:lang w:val="en-US"/>
        </w:rPr>
        <w:t>). The</w:t>
      </w:r>
      <w:r w:rsidR="00621412">
        <w:rPr>
          <w:sz w:val="24"/>
          <w:szCs w:val="24"/>
          <w:lang w:val="en-US"/>
        </w:rPr>
        <w:t xml:space="preserve"> </w:t>
      </w:r>
      <w:r>
        <w:rPr>
          <w:sz w:val="24"/>
          <w:szCs w:val="24"/>
          <w:lang w:val="en-US"/>
        </w:rPr>
        <w:t>critical elements of the ionization chambers (</w:t>
      </w:r>
      <w:r w:rsidR="007C40AA">
        <w:rPr>
          <w:sz w:val="24"/>
          <w:szCs w:val="24"/>
          <w:lang w:val="en-US"/>
        </w:rPr>
        <w:t xml:space="preserve">collector, </w:t>
      </w:r>
      <w:r>
        <w:rPr>
          <w:sz w:val="24"/>
          <w:szCs w:val="24"/>
          <w:lang w:val="en-US"/>
        </w:rPr>
        <w:t xml:space="preserve">wall, base) were simulated in detail </w:t>
      </w:r>
      <w:r w:rsidR="00621412">
        <w:rPr>
          <w:sz w:val="24"/>
          <w:szCs w:val="24"/>
          <w:lang w:val="en-US"/>
        </w:rPr>
        <w:t xml:space="preserve">and the chamber stem in moderate detail. Additional calculations with modified </w:t>
      </w:r>
      <w:r w:rsidR="007C40AA">
        <w:rPr>
          <w:sz w:val="24"/>
          <w:szCs w:val="24"/>
          <w:lang w:val="en-US"/>
        </w:rPr>
        <w:t>collector diameter and wall thickness</w:t>
      </w:r>
      <w:r w:rsidR="00621412">
        <w:rPr>
          <w:sz w:val="24"/>
          <w:szCs w:val="24"/>
          <w:lang w:val="en-US"/>
        </w:rPr>
        <w:t xml:space="preserve"> are discussed in </w:t>
      </w:r>
      <w:r w:rsidR="00984400">
        <w:rPr>
          <w:sz w:val="24"/>
          <w:szCs w:val="24"/>
          <w:lang w:val="en-US"/>
        </w:rPr>
        <w:t>Section 5</w:t>
      </w:r>
      <w:r w:rsidR="00621412">
        <w:rPr>
          <w:sz w:val="24"/>
          <w:szCs w:val="24"/>
          <w:lang w:val="en-US"/>
        </w:rPr>
        <w:t>. The 20 cm cubic water phanto</w:t>
      </w:r>
      <w:r w:rsidR="00F25D93">
        <w:rPr>
          <w:sz w:val="24"/>
          <w:szCs w:val="24"/>
          <w:lang w:val="en-US"/>
        </w:rPr>
        <w:t xml:space="preserve">m was simulated with </w:t>
      </w:r>
      <w:r w:rsidR="00621412">
        <w:rPr>
          <w:sz w:val="24"/>
          <w:szCs w:val="24"/>
          <w:lang w:val="en-US"/>
        </w:rPr>
        <w:t>atten</w:t>
      </w:r>
      <w:r w:rsidR="00A86269">
        <w:rPr>
          <w:sz w:val="24"/>
          <w:szCs w:val="24"/>
          <w:lang w:val="en-US"/>
        </w:rPr>
        <w:t xml:space="preserve">tion paid to the </w:t>
      </w:r>
      <w:r w:rsidR="00984400">
        <w:rPr>
          <w:sz w:val="24"/>
          <w:szCs w:val="24"/>
          <w:lang w:val="en-US"/>
        </w:rPr>
        <w:t xml:space="preserve">details of the </w:t>
      </w:r>
      <w:r w:rsidR="00A86269">
        <w:rPr>
          <w:sz w:val="24"/>
          <w:szCs w:val="24"/>
          <w:lang w:val="en-US"/>
        </w:rPr>
        <w:t xml:space="preserve">window </w:t>
      </w:r>
      <w:r w:rsidR="00621412">
        <w:rPr>
          <w:sz w:val="24"/>
          <w:szCs w:val="24"/>
          <w:lang w:val="en-US"/>
        </w:rPr>
        <w:t xml:space="preserve">and </w:t>
      </w:r>
      <w:r w:rsidR="00A86269">
        <w:rPr>
          <w:sz w:val="24"/>
          <w:szCs w:val="24"/>
          <w:lang w:val="en-US"/>
        </w:rPr>
        <w:t xml:space="preserve">the </w:t>
      </w:r>
      <w:r w:rsidR="00621412">
        <w:rPr>
          <w:sz w:val="24"/>
          <w:szCs w:val="24"/>
          <w:lang w:val="en-US"/>
        </w:rPr>
        <w:t>water filling height.</w:t>
      </w:r>
    </w:p>
    <w:p w:rsidR="0097041B" w:rsidRDefault="0097041B">
      <w:pPr>
        <w:rPr>
          <w:sz w:val="24"/>
          <w:szCs w:val="24"/>
          <w:lang w:val="en-US"/>
        </w:rPr>
      </w:pPr>
      <w:r>
        <w:rPr>
          <w:sz w:val="24"/>
          <w:szCs w:val="24"/>
          <w:lang w:val="en-US"/>
        </w:rPr>
        <w:t xml:space="preserve">Phase-space </w:t>
      </w:r>
      <w:r w:rsidR="00AF0D7F">
        <w:rPr>
          <w:sz w:val="24"/>
          <w:szCs w:val="24"/>
          <w:lang w:val="en-US"/>
        </w:rPr>
        <w:t>files of photons in the plane 90</w:t>
      </w:r>
      <w:r w:rsidR="00984400">
        <w:rPr>
          <w:sz w:val="24"/>
          <w:szCs w:val="24"/>
          <w:lang w:val="en-US"/>
        </w:rPr>
        <w:t>0 m</w:t>
      </w:r>
      <w:r>
        <w:rPr>
          <w:sz w:val="24"/>
          <w:szCs w:val="24"/>
          <w:lang w:val="en-US"/>
        </w:rPr>
        <w:t>m from the focus were prepared from a simulation of</w:t>
      </w:r>
      <w:r w:rsidR="00794AD4">
        <w:rPr>
          <w:sz w:val="24"/>
          <w:szCs w:val="24"/>
          <w:lang w:val="en-US"/>
        </w:rPr>
        <w:t xml:space="preserve"> the</w:t>
      </w:r>
      <w:r>
        <w:rPr>
          <w:sz w:val="24"/>
          <w:szCs w:val="24"/>
          <w:lang w:val="en-US"/>
        </w:rPr>
        <w:t xml:space="preserve"> x-ray tube. A</w:t>
      </w:r>
      <w:r w:rsidR="00794AD4">
        <w:rPr>
          <w:sz w:val="24"/>
          <w:szCs w:val="24"/>
          <w:lang w:val="en-US"/>
        </w:rPr>
        <w:t xml:space="preserve"> parallel</w:t>
      </w:r>
      <w:r w:rsidR="00265DAF">
        <w:rPr>
          <w:sz w:val="24"/>
          <w:szCs w:val="24"/>
          <w:lang w:val="en-US"/>
        </w:rPr>
        <w:t xml:space="preserve"> electron source</w:t>
      </w:r>
      <w:r>
        <w:rPr>
          <w:sz w:val="24"/>
          <w:szCs w:val="24"/>
          <w:lang w:val="en-US"/>
        </w:rPr>
        <w:t xml:space="preserve"> </w:t>
      </w:r>
      <w:r w:rsidR="00265DAF">
        <w:rPr>
          <w:sz w:val="24"/>
          <w:szCs w:val="24"/>
          <w:lang w:val="en-US"/>
        </w:rPr>
        <w:t xml:space="preserve">producing a 4.3 mm square </w:t>
      </w:r>
      <w:r>
        <w:rPr>
          <w:sz w:val="24"/>
          <w:szCs w:val="24"/>
          <w:lang w:val="en-US"/>
        </w:rPr>
        <w:t xml:space="preserve">focal spot </w:t>
      </w:r>
      <w:r w:rsidR="00265DAF">
        <w:rPr>
          <w:sz w:val="24"/>
          <w:szCs w:val="24"/>
          <w:lang w:val="en-US"/>
        </w:rPr>
        <w:t xml:space="preserve">(as seen from the </w:t>
      </w:r>
      <w:r w:rsidR="00F25D93">
        <w:rPr>
          <w:sz w:val="24"/>
          <w:szCs w:val="24"/>
          <w:lang w:val="en-US"/>
        </w:rPr>
        <w:t>reference plane</w:t>
      </w:r>
      <w:r>
        <w:rPr>
          <w:sz w:val="24"/>
          <w:szCs w:val="24"/>
          <w:lang w:val="en-US"/>
        </w:rPr>
        <w:t>)</w:t>
      </w:r>
      <w:r w:rsidR="00794AD4">
        <w:rPr>
          <w:sz w:val="24"/>
          <w:szCs w:val="24"/>
          <w:lang w:val="en-US"/>
        </w:rPr>
        <w:t xml:space="preserve"> was incident on a</w:t>
      </w:r>
      <w:r>
        <w:rPr>
          <w:sz w:val="24"/>
          <w:szCs w:val="24"/>
          <w:lang w:val="en-US"/>
        </w:rPr>
        <w:t xml:space="preserve"> tungsten </w:t>
      </w:r>
      <w:r w:rsidR="00265DAF">
        <w:rPr>
          <w:sz w:val="24"/>
          <w:szCs w:val="24"/>
          <w:lang w:val="en-US"/>
        </w:rPr>
        <w:t>target (with angle 20</w:t>
      </w:r>
      <w:r>
        <w:rPr>
          <w:sz w:val="24"/>
          <w:szCs w:val="24"/>
          <w:lang w:val="en-US"/>
        </w:rPr>
        <w:t>°)</w:t>
      </w:r>
      <w:r w:rsidR="00794AD4">
        <w:rPr>
          <w:sz w:val="24"/>
          <w:szCs w:val="24"/>
          <w:lang w:val="en-US"/>
        </w:rPr>
        <w:t xml:space="preserve"> and the resulting photon fluence passed</w:t>
      </w:r>
      <w:r w:rsidR="00265DAF">
        <w:rPr>
          <w:sz w:val="24"/>
          <w:szCs w:val="24"/>
          <w:lang w:val="en-US"/>
        </w:rPr>
        <w:t xml:space="preserve"> through a 3 mm</w:t>
      </w:r>
      <w:r w:rsidR="00794AD4">
        <w:rPr>
          <w:sz w:val="24"/>
          <w:szCs w:val="24"/>
          <w:lang w:val="en-US"/>
        </w:rPr>
        <w:t xml:space="preserve"> beryllium window and lead collimator</w:t>
      </w:r>
      <w:r w:rsidR="00F25D93">
        <w:rPr>
          <w:sz w:val="24"/>
          <w:szCs w:val="24"/>
          <w:lang w:val="en-US"/>
        </w:rPr>
        <w:t xml:space="preserve"> (13.88</w:t>
      </w:r>
      <w:r w:rsidR="00265DAF">
        <w:rPr>
          <w:sz w:val="24"/>
          <w:szCs w:val="24"/>
          <w:lang w:val="en-US"/>
        </w:rPr>
        <w:t xml:space="preserve"> mm in diameter, </w:t>
      </w:r>
      <w:r w:rsidR="00F25D93">
        <w:rPr>
          <w:sz w:val="24"/>
          <w:szCs w:val="24"/>
          <w:lang w:val="en-US"/>
        </w:rPr>
        <w:t>chosen to give the measured field diameter of 98</w:t>
      </w:r>
      <w:r w:rsidR="00265DAF">
        <w:rPr>
          <w:sz w:val="24"/>
          <w:szCs w:val="24"/>
          <w:lang w:val="en-US"/>
        </w:rPr>
        <w:t> mm at 1200 mm distance)</w:t>
      </w:r>
      <w:r w:rsidR="00794AD4">
        <w:rPr>
          <w:sz w:val="24"/>
          <w:szCs w:val="24"/>
          <w:lang w:val="en-US"/>
        </w:rPr>
        <w:t>. The BIPM filtration corresponding to the CCRI reference qualities was simulated in detail. Because of the relative inefficiency of bremsstrahlung production at these energies an</w:t>
      </w:r>
      <w:r w:rsidR="00265DAF">
        <w:rPr>
          <w:sz w:val="24"/>
          <w:szCs w:val="24"/>
          <w:lang w:val="en-US"/>
        </w:rPr>
        <w:t xml:space="preserve">d the limited cone of interest, </w:t>
      </w:r>
      <w:r w:rsidR="00794AD4">
        <w:rPr>
          <w:sz w:val="24"/>
          <w:szCs w:val="24"/>
          <w:lang w:val="en-US"/>
        </w:rPr>
        <w:t>only around 5 10</w:t>
      </w:r>
      <w:r w:rsidR="00794AD4" w:rsidRPr="00794AD4">
        <w:rPr>
          <w:sz w:val="24"/>
          <w:szCs w:val="24"/>
          <w:vertAlign w:val="superscript"/>
          <w:lang w:val="en-US"/>
        </w:rPr>
        <w:t>6</w:t>
      </w:r>
      <w:r w:rsidR="00794AD4">
        <w:rPr>
          <w:sz w:val="24"/>
          <w:szCs w:val="24"/>
          <w:lang w:val="en-US"/>
        </w:rPr>
        <w:t xml:space="preserve"> photons were produced for each energy</w:t>
      </w:r>
      <w:r w:rsidR="00F13314">
        <w:rPr>
          <w:sz w:val="24"/>
          <w:szCs w:val="24"/>
          <w:lang w:val="en-US"/>
        </w:rPr>
        <w:t>, which ultimately limited the statistical uncertainty of the calculations of cavity dose. Th</w:t>
      </w:r>
      <w:r w:rsidR="00C55AE1">
        <w:rPr>
          <w:sz w:val="24"/>
          <w:szCs w:val="24"/>
          <w:lang w:val="en-US"/>
        </w:rPr>
        <w:t>e resulting spectra compare well</w:t>
      </w:r>
      <w:r w:rsidR="00F13314">
        <w:rPr>
          <w:sz w:val="24"/>
          <w:szCs w:val="24"/>
          <w:lang w:val="en-US"/>
        </w:rPr>
        <w:t xml:space="preserve"> with th</w:t>
      </w:r>
      <w:r w:rsidR="00C55AE1">
        <w:rPr>
          <w:sz w:val="24"/>
          <w:szCs w:val="24"/>
          <w:lang w:val="en-US"/>
        </w:rPr>
        <w:t xml:space="preserve">ose obtained </w:t>
      </w:r>
      <w:r w:rsidR="00F13314">
        <w:rPr>
          <w:sz w:val="24"/>
          <w:szCs w:val="24"/>
          <w:lang w:val="en-US"/>
        </w:rPr>
        <w:t xml:space="preserve">by calculation using the </w:t>
      </w:r>
      <w:proofErr w:type="spellStart"/>
      <w:r w:rsidR="00F13314">
        <w:rPr>
          <w:sz w:val="24"/>
          <w:szCs w:val="24"/>
          <w:lang w:val="en-US"/>
        </w:rPr>
        <w:t>SpekCalc</w:t>
      </w:r>
      <w:proofErr w:type="spellEnd"/>
      <w:r w:rsidR="00F13314">
        <w:rPr>
          <w:sz w:val="24"/>
          <w:szCs w:val="24"/>
          <w:lang w:val="en-US"/>
        </w:rPr>
        <w:t xml:space="preserve"> software (</w:t>
      </w:r>
      <w:proofErr w:type="spellStart"/>
      <w:r w:rsidR="00F13314">
        <w:rPr>
          <w:sz w:val="24"/>
          <w:szCs w:val="24"/>
          <w:lang w:val="en-US"/>
        </w:rPr>
        <w:t>Poludniowski</w:t>
      </w:r>
      <w:proofErr w:type="spellEnd"/>
      <w:r w:rsidR="00F13314">
        <w:rPr>
          <w:sz w:val="24"/>
          <w:szCs w:val="24"/>
          <w:lang w:val="en-US"/>
        </w:rPr>
        <w:t xml:space="preserve"> </w:t>
      </w:r>
      <w:r w:rsidR="00F13314" w:rsidRPr="00BB6698">
        <w:rPr>
          <w:i/>
          <w:sz w:val="24"/>
          <w:szCs w:val="24"/>
          <w:lang w:val="en-US"/>
        </w:rPr>
        <w:t>et al</w:t>
      </w:r>
      <w:r w:rsidR="00F13314">
        <w:rPr>
          <w:sz w:val="24"/>
          <w:szCs w:val="24"/>
          <w:lang w:val="en-US"/>
        </w:rPr>
        <w:t xml:space="preserve"> 2009)</w:t>
      </w:r>
      <w:r w:rsidR="00C55AE1">
        <w:rPr>
          <w:sz w:val="24"/>
          <w:szCs w:val="24"/>
          <w:lang w:val="en-US"/>
        </w:rPr>
        <w:t>, and reasonably well with those measured for the previous BIPM x-ray tube (pre-2004)</w:t>
      </w:r>
      <w:r w:rsidR="00F13314">
        <w:rPr>
          <w:sz w:val="24"/>
          <w:szCs w:val="24"/>
          <w:lang w:val="en-US"/>
        </w:rPr>
        <w:t>.</w:t>
      </w:r>
      <w:r w:rsidR="00C55AE1">
        <w:rPr>
          <w:sz w:val="24"/>
          <w:szCs w:val="24"/>
          <w:lang w:val="en-US"/>
        </w:rPr>
        <w:t xml:space="preserve"> Uncertainties arising from differences are discussed in Section 5.</w:t>
      </w:r>
    </w:p>
    <w:p w:rsidR="00E212FB" w:rsidRDefault="00E212FB">
      <w:pPr>
        <w:rPr>
          <w:sz w:val="24"/>
          <w:szCs w:val="24"/>
          <w:lang w:val="en-US"/>
        </w:rPr>
      </w:pPr>
      <w:r>
        <w:rPr>
          <w:sz w:val="24"/>
          <w:szCs w:val="24"/>
          <w:lang w:val="en-US"/>
        </w:rPr>
        <w:t xml:space="preserve">The </w:t>
      </w:r>
      <w:r w:rsidR="00BD0B1E">
        <w:rPr>
          <w:sz w:val="24"/>
          <w:szCs w:val="24"/>
          <w:lang w:val="en-US"/>
        </w:rPr>
        <w:t>air</w:t>
      </w:r>
      <w:r w:rsidR="0097041B">
        <w:rPr>
          <w:sz w:val="24"/>
          <w:szCs w:val="24"/>
          <w:lang w:val="en-US"/>
        </w:rPr>
        <w:t xml:space="preserve"> </w:t>
      </w:r>
      <w:proofErr w:type="spellStart"/>
      <w:r w:rsidR="0002020E">
        <w:rPr>
          <w:sz w:val="24"/>
          <w:szCs w:val="24"/>
          <w:lang w:val="en-US"/>
        </w:rPr>
        <w:t>kerma</w:t>
      </w:r>
      <w:proofErr w:type="spellEnd"/>
      <w:r w:rsidR="0097041B">
        <w:rPr>
          <w:sz w:val="24"/>
          <w:szCs w:val="24"/>
          <w:lang w:val="en-US"/>
        </w:rPr>
        <w:t xml:space="preserve"> </w:t>
      </w:r>
      <w:proofErr w:type="spellStart"/>
      <w:r w:rsidRPr="00BD0B1E">
        <w:rPr>
          <w:i/>
          <w:sz w:val="24"/>
          <w:szCs w:val="24"/>
          <w:lang w:val="en-US"/>
        </w:rPr>
        <w:t>K</w:t>
      </w:r>
      <w:r w:rsidR="0097041B">
        <w:rPr>
          <w:sz w:val="24"/>
          <w:szCs w:val="24"/>
          <w:vertAlign w:val="subscript"/>
          <w:lang w:val="en-US"/>
        </w:rPr>
        <w:t>air,</w:t>
      </w:r>
      <w:r w:rsidR="0002020E" w:rsidRPr="00BD0B1E">
        <w:rPr>
          <w:sz w:val="24"/>
          <w:szCs w:val="24"/>
          <w:vertAlign w:val="subscript"/>
          <w:lang w:val="en-US"/>
        </w:rPr>
        <w:t>MC</w:t>
      </w:r>
      <w:proofErr w:type="spellEnd"/>
      <w:r>
        <w:rPr>
          <w:sz w:val="24"/>
          <w:szCs w:val="24"/>
          <w:lang w:val="en-US"/>
        </w:rPr>
        <w:t xml:space="preserve"> </w:t>
      </w:r>
      <w:r w:rsidR="0097041B">
        <w:rPr>
          <w:sz w:val="24"/>
          <w:szCs w:val="24"/>
          <w:lang w:val="en-US"/>
        </w:rPr>
        <w:t xml:space="preserve">(per incident photon) </w:t>
      </w:r>
      <w:r w:rsidR="00905AB4">
        <w:rPr>
          <w:sz w:val="24"/>
          <w:szCs w:val="24"/>
          <w:lang w:val="en-US"/>
        </w:rPr>
        <w:t xml:space="preserve">in the reference plane </w:t>
      </w:r>
      <w:r>
        <w:rPr>
          <w:sz w:val="24"/>
          <w:szCs w:val="24"/>
          <w:lang w:val="en-US"/>
        </w:rPr>
        <w:t>was</w:t>
      </w:r>
      <w:r w:rsidR="0097041B">
        <w:rPr>
          <w:sz w:val="24"/>
          <w:szCs w:val="24"/>
          <w:lang w:val="en-US"/>
        </w:rPr>
        <w:t xml:space="preserve"> calculated for a cylinder 30 mm in thickness and of diameter 10 mm corresponding to the aperture o</w:t>
      </w:r>
      <w:r w:rsidR="00984400">
        <w:rPr>
          <w:sz w:val="24"/>
          <w:szCs w:val="24"/>
          <w:lang w:val="en-US"/>
        </w:rPr>
        <w:t>f the BIPM free-air chamber. This</w:t>
      </w:r>
      <w:r w:rsidR="0097041B">
        <w:rPr>
          <w:sz w:val="24"/>
          <w:szCs w:val="24"/>
          <w:lang w:val="en-US"/>
        </w:rPr>
        <w:t xml:space="preserve"> </w:t>
      </w:r>
      <w:r w:rsidR="00F13314">
        <w:rPr>
          <w:sz w:val="24"/>
          <w:szCs w:val="24"/>
          <w:lang w:val="en-US"/>
        </w:rPr>
        <w:t xml:space="preserve">calculation is relatively efficient because no electron transport is necessary. Calculation of the absorbed dose </w:t>
      </w:r>
      <w:proofErr w:type="spellStart"/>
      <w:r w:rsidR="00F13314" w:rsidRPr="00000C24">
        <w:rPr>
          <w:i/>
          <w:sz w:val="24"/>
          <w:szCs w:val="24"/>
          <w:lang w:val="en-US"/>
        </w:rPr>
        <w:t>D</w:t>
      </w:r>
      <w:r w:rsidR="00F13314" w:rsidRPr="00000C24">
        <w:rPr>
          <w:sz w:val="24"/>
          <w:szCs w:val="24"/>
          <w:vertAlign w:val="subscript"/>
          <w:lang w:val="en-US"/>
        </w:rPr>
        <w:t>w</w:t>
      </w:r>
      <w:proofErr w:type="gramStart"/>
      <w:r w:rsidR="00F13314" w:rsidRPr="00000C24">
        <w:rPr>
          <w:sz w:val="24"/>
          <w:szCs w:val="24"/>
          <w:vertAlign w:val="subscript"/>
          <w:lang w:val="en-US"/>
        </w:rPr>
        <w:t>,MC</w:t>
      </w:r>
      <w:proofErr w:type="spellEnd"/>
      <w:proofErr w:type="gramEnd"/>
      <w:r w:rsidR="00D97882">
        <w:rPr>
          <w:sz w:val="24"/>
          <w:szCs w:val="24"/>
          <w:lang w:val="en-US"/>
        </w:rPr>
        <w:t xml:space="preserve"> </w:t>
      </w:r>
      <w:r w:rsidR="00905AB4">
        <w:rPr>
          <w:sz w:val="24"/>
          <w:szCs w:val="24"/>
          <w:lang w:val="en-US"/>
        </w:rPr>
        <w:t xml:space="preserve">at </w:t>
      </w:r>
      <w:r w:rsidR="00D97882">
        <w:rPr>
          <w:sz w:val="24"/>
          <w:szCs w:val="24"/>
          <w:lang w:val="en-US"/>
        </w:rPr>
        <w:t>2 g cm</w:t>
      </w:r>
      <w:r w:rsidR="00D97882" w:rsidRPr="001760D3">
        <w:rPr>
          <w:sz w:val="24"/>
          <w:szCs w:val="24"/>
          <w:vertAlign w:val="superscript"/>
          <w:lang w:val="en-US"/>
        </w:rPr>
        <w:t>–2</w:t>
      </w:r>
      <w:r w:rsidR="00984400">
        <w:rPr>
          <w:sz w:val="24"/>
          <w:szCs w:val="24"/>
          <w:lang w:val="en-US"/>
        </w:rPr>
        <w:t xml:space="preserve"> </w:t>
      </w:r>
      <w:r w:rsidR="00F13314">
        <w:rPr>
          <w:sz w:val="24"/>
          <w:szCs w:val="24"/>
          <w:lang w:val="en-US"/>
        </w:rPr>
        <w:t xml:space="preserve">is </w:t>
      </w:r>
      <w:r w:rsidR="007E39EC">
        <w:rPr>
          <w:sz w:val="24"/>
          <w:szCs w:val="24"/>
          <w:lang w:val="en-US"/>
        </w:rPr>
        <w:t xml:space="preserve">potentially </w:t>
      </w:r>
      <w:r w:rsidR="00F13314">
        <w:rPr>
          <w:sz w:val="24"/>
          <w:szCs w:val="24"/>
          <w:lang w:val="en-US"/>
        </w:rPr>
        <w:t xml:space="preserve">much less efficient, </w:t>
      </w:r>
      <w:r w:rsidR="00D97882">
        <w:rPr>
          <w:sz w:val="24"/>
          <w:szCs w:val="24"/>
          <w:lang w:val="en-US"/>
        </w:rPr>
        <w:t>for two reasons. Firstly, for radial non-uniformity effects to cancel,</w:t>
      </w:r>
      <w:r w:rsidR="00F13314">
        <w:rPr>
          <w:sz w:val="24"/>
          <w:szCs w:val="24"/>
          <w:lang w:val="en-US"/>
        </w:rPr>
        <w:t xml:space="preserve"> </w:t>
      </w:r>
      <w:r w:rsidR="00D97882">
        <w:rPr>
          <w:sz w:val="24"/>
          <w:szCs w:val="24"/>
          <w:lang w:val="en-US"/>
        </w:rPr>
        <w:t xml:space="preserve">the calculation was made for </w:t>
      </w:r>
      <w:r w:rsidR="00000C24">
        <w:rPr>
          <w:sz w:val="24"/>
          <w:szCs w:val="24"/>
          <w:lang w:val="en-US"/>
        </w:rPr>
        <w:t xml:space="preserve">a </w:t>
      </w:r>
      <w:r w:rsidR="00C55AE1">
        <w:rPr>
          <w:sz w:val="24"/>
          <w:szCs w:val="24"/>
          <w:lang w:val="en-US"/>
        </w:rPr>
        <w:t xml:space="preserve">smaller, </w:t>
      </w:r>
      <w:r w:rsidR="00D97882">
        <w:rPr>
          <w:sz w:val="24"/>
          <w:szCs w:val="24"/>
          <w:lang w:val="en-US"/>
        </w:rPr>
        <w:t>rectangular cross section</w:t>
      </w:r>
      <w:r w:rsidR="00000C24">
        <w:rPr>
          <w:sz w:val="24"/>
          <w:szCs w:val="24"/>
          <w:lang w:val="en-US"/>
        </w:rPr>
        <w:t xml:space="preserve"> with dimensions corresponding to the diameter and cavity length of a Farmer-type chamber.</w:t>
      </w:r>
      <w:r w:rsidR="007E39EC">
        <w:rPr>
          <w:sz w:val="24"/>
          <w:szCs w:val="24"/>
          <w:lang w:val="en-US"/>
        </w:rPr>
        <w:t xml:space="preserve"> </w:t>
      </w:r>
      <w:r w:rsidR="00D97882">
        <w:rPr>
          <w:sz w:val="24"/>
          <w:szCs w:val="24"/>
          <w:lang w:val="en-US"/>
        </w:rPr>
        <w:t>Secondly, electron transport is no</w:t>
      </w:r>
      <w:r w:rsidR="00C55AE1">
        <w:rPr>
          <w:sz w:val="24"/>
          <w:szCs w:val="24"/>
          <w:lang w:val="en-US"/>
        </w:rPr>
        <w:t>rmally required for an absorbed-</w:t>
      </w:r>
      <w:r w:rsidR="00D97882">
        <w:rPr>
          <w:sz w:val="24"/>
          <w:szCs w:val="24"/>
          <w:lang w:val="en-US"/>
        </w:rPr>
        <w:t xml:space="preserve">dose calculation. </w:t>
      </w:r>
      <w:r w:rsidR="007E39EC">
        <w:rPr>
          <w:sz w:val="24"/>
          <w:szCs w:val="24"/>
          <w:lang w:val="en-US"/>
        </w:rPr>
        <w:t>However, it was shown that switching of</w:t>
      </w:r>
      <w:r w:rsidR="00C55AE1">
        <w:rPr>
          <w:sz w:val="24"/>
          <w:szCs w:val="24"/>
          <w:lang w:val="en-US"/>
        </w:rPr>
        <w:t>f</w:t>
      </w:r>
      <w:r w:rsidR="007E39EC">
        <w:rPr>
          <w:sz w:val="24"/>
          <w:szCs w:val="24"/>
          <w:lang w:val="en-US"/>
        </w:rPr>
        <w:t xml:space="preserve"> electron transport changed the </w:t>
      </w:r>
      <w:r w:rsidR="00D97882">
        <w:rPr>
          <w:sz w:val="24"/>
          <w:szCs w:val="24"/>
          <w:lang w:val="en-US"/>
        </w:rPr>
        <w:t xml:space="preserve">absorbed </w:t>
      </w:r>
      <w:r w:rsidR="00984400">
        <w:rPr>
          <w:sz w:val="24"/>
          <w:szCs w:val="24"/>
          <w:lang w:val="en-US"/>
        </w:rPr>
        <w:t>dose</w:t>
      </w:r>
      <w:r w:rsidR="007E39EC">
        <w:rPr>
          <w:sz w:val="24"/>
          <w:szCs w:val="24"/>
          <w:lang w:val="en-US"/>
        </w:rPr>
        <w:t xml:space="preserve"> by less than 0.0</w:t>
      </w:r>
      <w:r w:rsidR="0056498B">
        <w:rPr>
          <w:sz w:val="24"/>
          <w:szCs w:val="24"/>
          <w:lang w:val="en-US"/>
        </w:rPr>
        <w:t>4</w:t>
      </w:r>
      <w:r w:rsidR="007E39EC">
        <w:rPr>
          <w:sz w:val="24"/>
          <w:szCs w:val="24"/>
          <w:lang w:val="en-US"/>
        </w:rPr>
        <w:t xml:space="preserve"> %. This </w:t>
      </w:r>
      <w:r w:rsidR="00984400">
        <w:rPr>
          <w:sz w:val="24"/>
          <w:szCs w:val="24"/>
          <w:lang w:val="en-US"/>
        </w:rPr>
        <w:t>demonstrates</w:t>
      </w:r>
      <w:r w:rsidR="007E39EC">
        <w:rPr>
          <w:sz w:val="24"/>
          <w:szCs w:val="24"/>
          <w:lang w:val="en-US"/>
        </w:rPr>
        <w:t xml:space="preserve"> that, for these energies, charged-particle equilibrium </w:t>
      </w:r>
      <w:r w:rsidR="005E3C82">
        <w:rPr>
          <w:sz w:val="24"/>
          <w:szCs w:val="24"/>
          <w:lang w:val="en-US"/>
        </w:rPr>
        <w:t>(CPE) is well approximated</w:t>
      </w:r>
      <w:r w:rsidR="007E39EC">
        <w:rPr>
          <w:sz w:val="24"/>
          <w:szCs w:val="24"/>
          <w:lang w:val="en-US"/>
        </w:rPr>
        <w:t xml:space="preserve"> and bremsstrahlung production is negligible</w:t>
      </w:r>
      <w:r w:rsidR="00D97882">
        <w:rPr>
          <w:sz w:val="24"/>
          <w:szCs w:val="24"/>
          <w:lang w:val="en-US"/>
        </w:rPr>
        <w:t>. In other words, it is sufficient to calculate</w:t>
      </w:r>
      <w:r w:rsidR="007E39EC">
        <w:rPr>
          <w:sz w:val="24"/>
          <w:szCs w:val="24"/>
          <w:lang w:val="en-US"/>
        </w:rPr>
        <w:t xml:space="preserve"> the kerma</w:t>
      </w:r>
      <w:r w:rsidR="00D97882">
        <w:rPr>
          <w:sz w:val="24"/>
          <w:szCs w:val="24"/>
          <w:lang w:val="en-US"/>
        </w:rPr>
        <w:t xml:space="preserve"> in water</w:t>
      </w:r>
      <w:r w:rsidR="007E39EC">
        <w:rPr>
          <w:sz w:val="24"/>
          <w:szCs w:val="24"/>
          <w:lang w:val="en-US"/>
        </w:rPr>
        <w:t xml:space="preserve">.  </w:t>
      </w:r>
    </w:p>
    <w:p w:rsidR="00F913D0" w:rsidRDefault="0056498B">
      <w:pPr>
        <w:rPr>
          <w:sz w:val="24"/>
          <w:szCs w:val="24"/>
          <w:lang w:val="en-US"/>
        </w:rPr>
      </w:pPr>
      <w:r>
        <w:rPr>
          <w:sz w:val="24"/>
          <w:szCs w:val="24"/>
          <w:lang w:val="en-US"/>
        </w:rPr>
        <w:t xml:space="preserve">The cavity doses </w:t>
      </w:r>
      <w:proofErr w:type="spellStart"/>
      <w:r w:rsidR="00A3314F" w:rsidRPr="00A3314F">
        <w:rPr>
          <w:i/>
          <w:sz w:val="24"/>
          <w:szCs w:val="24"/>
          <w:lang w:val="en-US"/>
        </w:rPr>
        <w:t>D</w:t>
      </w:r>
      <w:r w:rsidR="00A3314F" w:rsidRPr="00A3314F">
        <w:rPr>
          <w:sz w:val="24"/>
          <w:szCs w:val="24"/>
          <w:vertAlign w:val="subscript"/>
          <w:lang w:val="en-US"/>
        </w:rPr>
        <w:t>cav</w:t>
      </w:r>
      <w:proofErr w:type="gramStart"/>
      <w:r w:rsidR="00A3314F" w:rsidRPr="00A3314F">
        <w:rPr>
          <w:sz w:val="24"/>
          <w:szCs w:val="24"/>
          <w:vertAlign w:val="subscript"/>
          <w:lang w:val="en-US"/>
        </w:rPr>
        <w:t>,air</w:t>
      </w:r>
      <w:proofErr w:type="spellEnd"/>
      <w:proofErr w:type="gramEnd"/>
      <w:r w:rsidR="00A3314F">
        <w:rPr>
          <w:sz w:val="24"/>
          <w:szCs w:val="24"/>
          <w:lang w:val="en-US"/>
        </w:rPr>
        <w:t xml:space="preserve"> and </w:t>
      </w:r>
      <w:proofErr w:type="spellStart"/>
      <w:r w:rsidR="00A3314F" w:rsidRPr="00873412">
        <w:rPr>
          <w:i/>
          <w:sz w:val="24"/>
          <w:szCs w:val="24"/>
          <w:lang w:val="en-US"/>
        </w:rPr>
        <w:t>D</w:t>
      </w:r>
      <w:r w:rsidR="00A3314F" w:rsidRPr="00A3314F">
        <w:rPr>
          <w:sz w:val="24"/>
          <w:szCs w:val="24"/>
          <w:vertAlign w:val="subscript"/>
          <w:lang w:val="en-US"/>
        </w:rPr>
        <w:t>cav,w</w:t>
      </w:r>
      <w:proofErr w:type="spellEnd"/>
      <w:r w:rsidR="00A3314F">
        <w:rPr>
          <w:sz w:val="24"/>
          <w:szCs w:val="24"/>
          <w:lang w:val="en-US"/>
        </w:rPr>
        <w:t xml:space="preserve"> </w:t>
      </w:r>
      <w:r w:rsidR="00D97882">
        <w:rPr>
          <w:sz w:val="24"/>
          <w:szCs w:val="24"/>
          <w:lang w:val="en-US"/>
        </w:rPr>
        <w:t xml:space="preserve">were calculated </w:t>
      </w:r>
      <w:r>
        <w:rPr>
          <w:sz w:val="24"/>
          <w:szCs w:val="24"/>
          <w:lang w:val="en-US"/>
        </w:rPr>
        <w:t>w</w:t>
      </w:r>
      <w:r w:rsidR="00265DAF">
        <w:rPr>
          <w:sz w:val="24"/>
          <w:szCs w:val="24"/>
          <w:lang w:val="en-US"/>
        </w:rPr>
        <w:t xml:space="preserve">ith </w:t>
      </w:r>
      <w:r w:rsidR="00DB598B">
        <w:rPr>
          <w:sz w:val="24"/>
          <w:szCs w:val="24"/>
          <w:lang w:val="en-US"/>
        </w:rPr>
        <w:t xml:space="preserve">relatively detailed </w:t>
      </w:r>
      <w:r w:rsidR="00265DAF">
        <w:rPr>
          <w:sz w:val="24"/>
          <w:szCs w:val="24"/>
          <w:lang w:val="en-US"/>
        </w:rPr>
        <w:t>electron transport</w:t>
      </w:r>
      <w:r w:rsidR="00A423F8">
        <w:rPr>
          <w:sz w:val="24"/>
          <w:szCs w:val="24"/>
          <w:lang w:val="en-US"/>
        </w:rPr>
        <w:t xml:space="preserve"> (</w:t>
      </w:r>
      <w:r w:rsidR="00C55AE1">
        <w:rPr>
          <w:sz w:val="24"/>
          <w:szCs w:val="24"/>
          <w:lang w:val="en-US"/>
        </w:rPr>
        <w:t xml:space="preserve">PENELOPE parameters </w:t>
      </w:r>
      <w:r w:rsidR="00C55AE1" w:rsidRPr="00C55AE1">
        <w:rPr>
          <w:i/>
          <w:sz w:val="24"/>
          <w:szCs w:val="24"/>
          <w:lang w:val="en-US"/>
        </w:rPr>
        <w:t>C</w:t>
      </w:r>
      <w:r w:rsidR="00C55AE1" w:rsidRPr="00C55AE1">
        <w:rPr>
          <w:sz w:val="24"/>
          <w:szCs w:val="24"/>
          <w:vertAlign w:val="subscript"/>
          <w:lang w:val="en-US"/>
        </w:rPr>
        <w:t>1</w:t>
      </w:r>
      <w:r w:rsidR="00C55AE1">
        <w:rPr>
          <w:sz w:val="24"/>
          <w:szCs w:val="24"/>
          <w:lang w:val="en-US"/>
        </w:rPr>
        <w:t> = </w:t>
      </w:r>
      <w:r w:rsidR="00C55AE1" w:rsidRPr="00C55AE1">
        <w:rPr>
          <w:i/>
          <w:sz w:val="24"/>
          <w:szCs w:val="24"/>
          <w:lang w:val="en-US"/>
        </w:rPr>
        <w:t>C</w:t>
      </w:r>
      <w:r w:rsidR="00C55AE1" w:rsidRPr="00C55AE1">
        <w:rPr>
          <w:sz w:val="24"/>
          <w:szCs w:val="24"/>
          <w:vertAlign w:val="subscript"/>
          <w:lang w:val="en-US"/>
        </w:rPr>
        <w:t>2</w:t>
      </w:r>
      <w:r w:rsidR="00C55AE1">
        <w:rPr>
          <w:sz w:val="24"/>
          <w:szCs w:val="24"/>
          <w:lang w:val="en-US"/>
        </w:rPr>
        <w:t xml:space="preserve"> = 0.05, </w:t>
      </w:r>
      <w:proofErr w:type="spellStart"/>
      <w:r w:rsidR="00A423F8" w:rsidRPr="00A423F8">
        <w:rPr>
          <w:i/>
          <w:sz w:val="24"/>
          <w:szCs w:val="24"/>
          <w:lang w:val="en-US"/>
        </w:rPr>
        <w:t>W</w:t>
      </w:r>
      <w:r w:rsidR="00A423F8" w:rsidRPr="00A423F8">
        <w:rPr>
          <w:sz w:val="24"/>
          <w:szCs w:val="24"/>
          <w:vertAlign w:val="subscript"/>
          <w:lang w:val="en-US"/>
        </w:rPr>
        <w:t>cc</w:t>
      </w:r>
      <w:proofErr w:type="spellEnd"/>
      <w:r w:rsidR="00C55AE1">
        <w:rPr>
          <w:sz w:val="24"/>
          <w:szCs w:val="24"/>
          <w:lang w:val="en-US"/>
        </w:rPr>
        <w:t> = 2 </w:t>
      </w:r>
      <w:proofErr w:type="spellStart"/>
      <w:r w:rsidR="00C55AE1">
        <w:rPr>
          <w:sz w:val="24"/>
          <w:szCs w:val="24"/>
          <w:lang w:val="en-US"/>
        </w:rPr>
        <w:t>keV</w:t>
      </w:r>
      <w:proofErr w:type="spellEnd"/>
      <w:r w:rsidR="00A423F8">
        <w:rPr>
          <w:sz w:val="24"/>
          <w:szCs w:val="24"/>
          <w:lang w:val="en-US"/>
        </w:rPr>
        <w:t>)</w:t>
      </w:r>
      <w:r w:rsidR="00265DAF">
        <w:rPr>
          <w:sz w:val="24"/>
          <w:szCs w:val="24"/>
          <w:lang w:val="en-US"/>
        </w:rPr>
        <w:t xml:space="preserve"> </w:t>
      </w:r>
      <w:r w:rsidR="00905AB4">
        <w:rPr>
          <w:sz w:val="24"/>
          <w:szCs w:val="24"/>
          <w:lang w:val="en-US"/>
        </w:rPr>
        <w:t>down to 2 </w:t>
      </w:r>
      <w:proofErr w:type="spellStart"/>
      <w:r w:rsidR="00905AB4">
        <w:rPr>
          <w:sz w:val="24"/>
          <w:szCs w:val="24"/>
          <w:lang w:val="en-US"/>
        </w:rPr>
        <w:t>keV</w:t>
      </w:r>
      <w:proofErr w:type="spellEnd"/>
      <w:r w:rsidR="00905AB4">
        <w:rPr>
          <w:sz w:val="24"/>
          <w:szCs w:val="24"/>
          <w:lang w:val="en-US"/>
        </w:rPr>
        <w:t xml:space="preserve"> </w:t>
      </w:r>
      <w:r w:rsidR="00265DAF">
        <w:rPr>
          <w:sz w:val="24"/>
          <w:szCs w:val="24"/>
          <w:lang w:val="en-US"/>
        </w:rPr>
        <w:t xml:space="preserve">in the </w:t>
      </w:r>
      <w:r w:rsidR="00905AB4">
        <w:rPr>
          <w:sz w:val="24"/>
          <w:szCs w:val="24"/>
          <w:lang w:val="en-US"/>
        </w:rPr>
        <w:t xml:space="preserve">air </w:t>
      </w:r>
      <w:r w:rsidR="00265DAF">
        <w:rPr>
          <w:sz w:val="24"/>
          <w:szCs w:val="24"/>
          <w:lang w:val="en-US"/>
        </w:rPr>
        <w:t xml:space="preserve">cavity and </w:t>
      </w:r>
      <w:r w:rsidR="00F913D0">
        <w:rPr>
          <w:sz w:val="24"/>
          <w:szCs w:val="24"/>
          <w:lang w:val="en-US"/>
        </w:rPr>
        <w:t xml:space="preserve">in </w:t>
      </w:r>
      <w:r w:rsidR="00905AB4">
        <w:rPr>
          <w:sz w:val="24"/>
          <w:szCs w:val="24"/>
          <w:lang w:val="en-US"/>
        </w:rPr>
        <w:t>a</w:t>
      </w:r>
      <w:r>
        <w:rPr>
          <w:sz w:val="24"/>
          <w:szCs w:val="24"/>
          <w:lang w:val="en-US"/>
        </w:rPr>
        <w:t>ll surfaces in contact with the</w:t>
      </w:r>
      <w:r w:rsidR="00905AB4">
        <w:rPr>
          <w:sz w:val="24"/>
          <w:szCs w:val="24"/>
          <w:lang w:val="en-US"/>
        </w:rPr>
        <w:t xml:space="preserve"> </w:t>
      </w:r>
      <w:r>
        <w:rPr>
          <w:sz w:val="24"/>
          <w:szCs w:val="24"/>
          <w:lang w:val="en-US"/>
        </w:rPr>
        <w:t>cavity</w:t>
      </w:r>
      <w:r w:rsidR="00905AB4">
        <w:rPr>
          <w:sz w:val="24"/>
          <w:szCs w:val="24"/>
          <w:lang w:val="en-US"/>
        </w:rPr>
        <w:t xml:space="preserve">. </w:t>
      </w:r>
      <w:r w:rsidR="00A423F8">
        <w:rPr>
          <w:sz w:val="24"/>
          <w:szCs w:val="24"/>
          <w:lang w:val="en-US"/>
        </w:rPr>
        <w:t>T</w:t>
      </w:r>
      <w:r w:rsidR="00F913D0">
        <w:rPr>
          <w:sz w:val="24"/>
          <w:szCs w:val="24"/>
          <w:lang w:val="en-US"/>
        </w:rPr>
        <w:t>he uncertainty arisi</w:t>
      </w:r>
      <w:r w:rsidR="00A423F8">
        <w:rPr>
          <w:sz w:val="24"/>
          <w:szCs w:val="24"/>
          <w:lang w:val="en-US"/>
        </w:rPr>
        <w:t xml:space="preserve">ng from the choice of transport parameters is discussed in </w:t>
      </w:r>
      <w:r w:rsidR="008C4817">
        <w:rPr>
          <w:sz w:val="24"/>
          <w:szCs w:val="24"/>
          <w:lang w:val="en-US"/>
        </w:rPr>
        <w:t>Section 5</w:t>
      </w:r>
      <w:r w:rsidR="00F913D0">
        <w:rPr>
          <w:sz w:val="24"/>
          <w:szCs w:val="24"/>
          <w:lang w:val="en-US"/>
        </w:rPr>
        <w:t>.</w:t>
      </w:r>
    </w:p>
    <w:p w:rsidR="009B5A5B" w:rsidRDefault="00586BC9">
      <w:pPr>
        <w:rPr>
          <w:sz w:val="24"/>
          <w:szCs w:val="24"/>
          <w:lang w:val="en-US"/>
        </w:rPr>
      </w:pPr>
      <w:r>
        <w:rPr>
          <w:sz w:val="24"/>
          <w:szCs w:val="24"/>
          <w:lang w:val="en-US"/>
        </w:rPr>
        <w:t xml:space="preserve">The results for </w:t>
      </w:r>
      <w:r w:rsidR="005C6938">
        <w:rPr>
          <w:sz w:val="24"/>
          <w:szCs w:val="24"/>
          <w:lang w:val="en-US"/>
        </w:rPr>
        <w:t xml:space="preserve">the </w:t>
      </w:r>
      <w:r w:rsidR="006A73F8">
        <w:rPr>
          <w:sz w:val="24"/>
          <w:szCs w:val="24"/>
          <w:lang w:val="en-US"/>
        </w:rPr>
        <w:t>calculated</w:t>
      </w:r>
      <w:r>
        <w:rPr>
          <w:sz w:val="24"/>
          <w:szCs w:val="24"/>
          <w:lang w:val="en-US"/>
        </w:rPr>
        <w:t xml:space="preserve"> factor </w:t>
      </w:r>
      <w:r w:rsidRPr="00586BC9">
        <w:rPr>
          <w:i/>
          <w:sz w:val="24"/>
          <w:szCs w:val="24"/>
          <w:lang w:val="en-US"/>
        </w:rPr>
        <w:t>C</w:t>
      </w:r>
      <w:r w:rsidR="006A73F8">
        <w:rPr>
          <w:sz w:val="24"/>
          <w:szCs w:val="24"/>
          <w:vertAlign w:val="subscript"/>
          <w:lang w:val="en-US"/>
        </w:rPr>
        <w:t>MC</w:t>
      </w:r>
      <w:r>
        <w:rPr>
          <w:sz w:val="24"/>
          <w:szCs w:val="24"/>
          <w:lang w:val="en-US"/>
        </w:rPr>
        <w:t xml:space="preserve"> are given in Table 1 </w:t>
      </w:r>
      <w:r w:rsidR="005C6938">
        <w:rPr>
          <w:sz w:val="24"/>
          <w:szCs w:val="24"/>
          <w:lang w:val="en-US"/>
        </w:rPr>
        <w:t xml:space="preserve">for each of the two chamber types </w:t>
      </w:r>
      <w:r w:rsidR="00E751EA">
        <w:rPr>
          <w:sz w:val="24"/>
          <w:szCs w:val="24"/>
          <w:lang w:val="en-US"/>
        </w:rPr>
        <w:t>along with the measured charge</w:t>
      </w:r>
      <w:r>
        <w:rPr>
          <w:sz w:val="24"/>
          <w:szCs w:val="24"/>
          <w:lang w:val="en-US"/>
        </w:rPr>
        <w:t xml:space="preserve"> ratios </w:t>
      </w:r>
      <w:proofErr w:type="spellStart"/>
      <w:r w:rsidR="00E751EA">
        <w:rPr>
          <w:i/>
          <w:sz w:val="24"/>
          <w:szCs w:val="24"/>
          <w:lang w:val="en-US"/>
        </w:rPr>
        <w:t>Q</w:t>
      </w:r>
      <w:r w:rsidRPr="0049301E">
        <w:rPr>
          <w:sz w:val="24"/>
          <w:szCs w:val="24"/>
          <w:vertAlign w:val="subscript"/>
          <w:lang w:val="en-US"/>
        </w:rPr>
        <w:t>w</w:t>
      </w:r>
      <w:proofErr w:type="spellEnd"/>
      <w:r>
        <w:rPr>
          <w:sz w:val="24"/>
          <w:szCs w:val="24"/>
          <w:lang w:val="en-US"/>
        </w:rPr>
        <w:t>/</w:t>
      </w:r>
      <w:proofErr w:type="spellStart"/>
      <w:r w:rsidR="00E751EA">
        <w:rPr>
          <w:i/>
          <w:sz w:val="24"/>
          <w:szCs w:val="24"/>
          <w:lang w:val="en-US"/>
        </w:rPr>
        <w:t>Q</w:t>
      </w:r>
      <w:r w:rsidRPr="0049301E">
        <w:rPr>
          <w:sz w:val="24"/>
          <w:szCs w:val="24"/>
          <w:vertAlign w:val="subscript"/>
          <w:lang w:val="en-US"/>
        </w:rPr>
        <w:t>air</w:t>
      </w:r>
      <w:proofErr w:type="spellEnd"/>
      <w:r w:rsidR="004632CD">
        <w:rPr>
          <w:sz w:val="24"/>
          <w:szCs w:val="24"/>
          <w:lang w:val="en-US"/>
        </w:rPr>
        <w:t xml:space="preserve">, </w:t>
      </w:r>
      <w:r w:rsidR="00D83B7E">
        <w:rPr>
          <w:sz w:val="24"/>
          <w:szCs w:val="24"/>
          <w:lang w:val="en-US"/>
        </w:rPr>
        <w:t xml:space="preserve">the </w:t>
      </w:r>
      <w:r w:rsidR="00CC1367">
        <w:rPr>
          <w:sz w:val="24"/>
          <w:szCs w:val="24"/>
          <w:lang w:val="en-US"/>
        </w:rPr>
        <w:t xml:space="preserve">measured </w:t>
      </w:r>
      <w:r w:rsidR="0049301E">
        <w:rPr>
          <w:sz w:val="24"/>
          <w:szCs w:val="24"/>
          <w:lang w:val="en-US"/>
        </w:rPr>
        <w:t xml:space="preserve">radial non-uniformity corrections </w:t>
      </w:r>
      <w:proofErr w:type="spellStart"/>
      <w:r w:rsidR="0049301E" w:rsidRPr="0049301E">
        <w:rPr>
          <w:i/>
          <w:sz w:val="24"/>
          <w:szCs w:val="24"/>
          <w:lang w:val="en-US"/>
        </w:rPr>
        <w:t>k</w:t>
      </w:r>
      <w:r w:rsidR="0049301E" w:rsidRPr="0049301E">
        <w:rPr>
          <w:sz w:val="24"/>
          <w:szCs w:val="24"/>
          <w:vertAlign w:val="subscript"/>
          <w:lang w:val="en-US"/>
        </w:rPr>
        <w:t>rn</w:t>
      </w:r>
      <w:proofErr w:type="spellEnd"/>
      <w:r w:rsidR="005C6938">
        <w:rPr>
          <w:sz w:val="24"/>
          <w:szCs w:val="24"/>
          <w:lang w:val="en-US"/>
        </w:rPr>
        <w:t xml:space="preserve"> </w:t>
      </w:r>
      <w:r w:rsidR="004632CD">
        <w:rPr>
          <w:sz w:val="24"/>
          <w:szCs w:val="24"/>
          <w:lang w:val="en-US"/>
        </w:rPr>
        <w:t xml:space="preserve">and the statistical standard uncertainty </w:t>
      </w:r>
      <w:r w:rsidR="004632CD" w:rsidRPr="004632CD">
        <w:rPr>
          <w:rFonts w:ascii="Symbol" w:hAnsi="Symbol"/>
          <w:i/>
          <w:lang w:val="en-US"/>
        </w:rPr>
        <w:t></w:t>
      </w:r>
      <w:r w:rsidR="004632CD" w:rsidRPr="004632CD">
        <w:rPr>
          <w:vertAlign w:val="subscript"/>
          <w:lang w:val="en-US"/>
        </w:rPr>
        <w:t>A</w:t>
      </w:r>
      <w:r w:rsidR="004632CD">
        <w:rPr>
          <w:sz w:val="24"/>
          <w:szCs w:val="24"/>
          <w:lang w:val="en-US"/>
        </w:rPr>
        <w:t xml:space="preserve"> of each parameter. </w:t>
      </w:r>
      <w:r w:rsidR="005C6938">
        <w:rPr>
          <w:sz w:val="24"/>
          <w:szCs w:val="24"/>
          <w:lang w:val="en-US"/>
        </w:rPr>
        <w:t xml:space="preserve">The resulting </w:t>
      </w:r>
      <w:r w:rsidR="005C6938">
        <w:rPr>
          <w:sz w:val="24"/>
          <w:szCs w:val="24"/>
          <w:lang w:val="en-US"/>
        </w:rPr>
        <w:lastRenderedPageBreak/>
        <w:t xml:space="preserve">ratios </w:t>
      </w:r>
      <w:proofErr w:type="spellStart"/>
      <w:r w:rsidR="005C6938" w:rsidRPr="005C6938">
        <w:rPr>
          <w:i/>
          <w:sz w:val="24"/>
          <w:szCs w:val="24"/>
          <w:lang w:val="en-US"/>
        </w:rPr>
        <w:t>D</w:t>
      </w:r>
      <w:r w:rsidR="005C6938" w:rsidRPr="005C6938">
        <w:rPr>
          <w:sz w:val="24"/>
          <w:szCs w:val="24"/>
          <w:vertAlign w:val="subscript"/>
          <w:lang w:val="en-US"/>
        </w:rPr>
        <w:t>w</w:t>
      </w:r>
      <w:proofErr w:type="spellEnd"/>
      <w:r w:rsidR="005C6938">
        <w:rPr>
          <w:sz w:val="24"/>
          <w:szCs w:val="24"/>
          <w:lang w:val="en-US"/>
        </w:rPr>
        <w:t>/</w:t>
      </w:r>
      <w:proofErr w:type="spellStart"/>
      <w:r w:rsidR="005C6938" w:rsidRPr="005C6938">
        <w:rPr>
          <w:i/>
          <w:sz w:val="24"/>
          <w:szCs w:val="24"/>
          <w:lang w:val="en-US"/>
        </w:rPr>
        <w:t>K</w:t>
      </w:r>
      <w:r w:rsidR="005C6938" w:rsidRPr="005C6938">
        <w:rPr>
          <w:sz w:val="24"/>
          <w:szCs w:val="24"/>
          <w:vertAlign w:val="subscript"/>
          <w:lang w:val="en-US"/>
        </w:rPr>
        <w:t>air</w:t>
      </w:r>
      <w:proofErr w:type="spellEnd"/>
      <w:r w:rsidR="005C6938">
        <w:rPr>
          <w:sz w:val="24"/>
          <w:szCs w:val="24"/>
          <w:lang w:val="en-US"/>
        </w:rPr>
        <w:t xml:space="preserve"> that represent the combined conversion from air kerma to absorbed dose </w:t>
      </w:r>
      <w:r w:rsidR="00051233">
        <w:rPr>
          <w:sz w:val="24"/>
          <w:szCs w:val="24"/>
          <w:lang w:val="en-US"/>
        </w:rPr>
        <w:t xml:space="preserve">to water </w:t>
      </w:r>
      <w:r w:rsidR="005C6938">
        <w:rPr>
          <w:sz w:val="24"/>
          <w:szCs w:val="24"/>
          <w:lang w:val="en-US"/>
        </w:rPr>
        <w:t>are also given.</w:t>
      </w:r>
      <w:r w:rsidR="00E35D03">
        <w:rPr>
          <w:sz w:val="24"/>
          <w:szCs w:val="24"/>
          <w:lang w:val="en-US"/>
        </w:rPr>
        <w:t xml:space="preserve"> Agreement in the values for </w:t>
      </w:r>
      <w:proofErr w:type="spellStart"/>
      <w:r w:rsidR="00F913D0" w:rsidRPr="005C6938">
        <w:rPr>
          <w:i/>
          <w:sz w:val="24"/>
          <w:szCs w:val="24"/>
          <w:lang w:val="en-US"/>
        </w:rPr>
        <w:t>D</w:t>
      </w:r>
      <w:r w:rsidR="00F913D0" w:rsidRPr="005C6938">
        <w:rPr>
          <w:sz w:val="24"/>
          <w:szCs w:val="24"/>
          <w:vertAlign w:val="subscript"/>
          <w:lang w:val="en-US"/>
        </w:rPr>
        <w:t>w</w:t>
      </w:r>
      <w:proofErr w:type="spellEnd"/>
      <w:r w:rsidR="00F913D0">
        <w:rPr>
          <w:sz w:val="24"/>
          <w:szCs w:val="24"/>
          <w:lang w:val="en-US"/>
        </w:rPr>
        <w:t>/</w:t>
      </w:r>
      <w:proofErr w:type="spellStart"/>
      <w:r w:rsidR="00F913D0" w:rsidRPr="005C6938">
        <w:rPr>
          <w:i/>
          <w:sz w:val="24"/>
          <w:szCs w:val="24"/>
          <w:lang w:val="en-US"/>
        </w:rPr>
        <w:t>K</w:t>
      </w:r>
      <w:r w:rsidR="00F913D0" w:rsidRPr="005C6938">
        <w:rPr>
          <w:sz w:val="24"/>
          <w:szCs w:val="24"/>
          <w:vertAlign w:val="subscript"/>
          <w:lang w:val="en-US"/>
        </w:rPr>
        <w:t>air</w:t>
      </w:r>
      <w:proofErr w:type="spellEnd"/>
      <w:r w:rsidR="00E35D03">
        <w:rPr>
          <w:sz w:val="24"/>
          <w:szCs w:val="24"/>
          <w:lang w:val="en-US"/>
        </w:rPr>
        <w:t xml:space="preserve"> between the two chambers is within the statistical </w:t>
      </w:r>
      <w:r w:rsidR="00984400">
        <w:rPr>
          <w:sz w:val="24"/>
          <w:szCs w:val="24"/>
          <w:lang w:val="en-US"/>
        </w:rPr>
        <w:t>uncertainty</w:t>
      </w:r>
      <w:r w:rsidR="00E35D03">
        <w:rPr>
          <w:sz w:val="24"/>
          <w:szCs w:val="24"/>
          <w:lang w:val="en-US"/>
        </w:rPr>
        <w:t xml:space="preserve"> for </w:t>
      </w:r>
      <w:r w:rsidR="00390D4A">
        <w:rPr>
          <w:sz w:val="24"/>
          <w:szCs w:val="24"/>
          <w:lang w:val="en-US"/>
        </w:rPr>
        <w:t xml:space="preserve">two of the four </w:t>
      </w:r>
      <w:r w:rsidR="00E35D03">
        <w:rPr>
          <w:sz w:val="24"/>
          <w:szCs w:val="24"/>
          <w:lang w:val="en-US"/>
        </w:rPr>
        <w:t>qualities</w:t>
      </w:r>
      <w:r w:rsidR="00051233">
        <w:rPr>
          <w:sz w:val="24"/>
          <w:szCs w:val="24"/>
          <w:lang w:val="en-US"/>
        </w:rPr>
        <w:t>. Differ</w:t>
      </w:r>
      <w:r w:rsidR="008C4817">
        <w:rPr>
          <w:sz w:val="24"/>
          <w:szCs w:val="24"/>
          <w:lang w:val="en-US"/>
        </w:rPr>
        <w:t>ences are discussed in Section 5</w:t>
      </w:r>
      <w:r w:rsidR="00051233">
        <w:rPr>
          <w:sz w:val="24"/>
          <w:szCs w:val="24"/>
          <w:lang w:val="en-US"/>
        </w:rPr>
        <w:t xml:space="preserve"> </w:t>
      </w:r>
      <w:r w:rsidR="005B39BB">
        <w:rPr>
          <w:sz w:val="24"/>
          <w:szCs w:val="24"/>
          <w:lang w:val="en-US"/>
        </w:rPr>
        <w:t xml:space="preserve">in relation to </w:t>
      </w:r>
      <w:r w:rsidR="00390D4A">
        <w:rPr>
          <w:sz w:val="24"/>
          <w:szCs w:val="24"/>
          <w:lang w:val="en-US"/>
        </w:rPr>
        <w:t xml:space="preserve">the </w:t>
      </w:r>
      <w:r w:rsidR="00E35D03">
        <w:rPr>
          <w:sz w:val="24"/>
          <w:szCs w:val="24"/>
          <w:lang w:val="en-US"/>
        </w:rPr>
        <w:t>chamber geometry simulations.</w:t>
      </w:r>
    </w:p>
    <w:p w:rsidR="00C73975" w:rsidRPr="00220C3E" w:rsidRDefault="00C73975" w:rsidP="00C73975">
      <w:pPr>
        <w:keepNext/>
        <w:keepLines/>
        <w:spacing w:after="60"/>
        <w:rPr>
          <w:b/>
          <w:lang w:val="en-US"/>
        </w:rPr>
      </w:pPr>
      <w:proofErr w:type="gramStart"/>
      <w:r w:rsidRPr="00220C3E">
        <w:rPr>
          <w:b/>
          <w:lang w:val="en-US"/>
        </w:rPr>
        <w:t>Table 1.</w:t>
      </w:r>
      <w:proofErr w:type="gramEnd"/>
      <w:r w:rsidRPr="00220C3E">
        <w:rPr>
          <w:b/>
          <w:lang w:val="en-US"/>
        </w:rPr>
        <w:t xml:space="preserve"> Results for each transfer chamber type of the conver</w:t>
      </w:r>
      <w:r>
        <w:rPr>
          <w:b/>
          <w:lang w:val="en-US"/>
        </w:rPr>
        <w:t>sion from air kerma to absorbed dose </w:t>
      </w:r>
      <w:r w:rsidRPr="00220C3E">
        <w:rPr>
          <w:b/>
          <w:lang w:val="en-US"/>
        </w:rPr>
        <w:t>in water.</w:t>
      </w:r>
    </w:p>
    <w:tbl>
      <w:tblPr>
        <w:tblStyle w:val="TableGrid"/>
        <w:tblW w:w="0" w:type="auto"/>
        <w:tblInd w:w="108" w:type="dxa"/>
        <w:tblLook w:val="04A0" w:firstRow="1" w:lastRow="0" w:firstColumn="1" w:lastColumn="0" w:noHBand="0" w:noVBand="1"/>
      </w:tblPr>
      <w:tblGrid>
        <w:gridCol w:w="1414"/>
        <w:gridCol w:w="957"/>
        <w:gridCol w:w="957"/>
        <w:gridCol w:w="957"/>
        <w:gridCol w:w="958"/>
        <w:gridCol w:w="957"/>
        <w:gridCol w:w="957"/>
        <w:gridCol w:w="957"/>
        <w:gridCol w:w="958"/>
      </w:tblGrid>
      <w:tr w:rsidR="00C73975" w:rsidTr="00910F09">
        <w:tc>
          <w:tcPr>
            <w:tcW w:w="1414" w:type="dxa"/>
            <w:tcBorders>
              <w:bottom w:val="nil"/>
            </w:tcBorders>
            <w:vAlign w:val="center"/>
          </w:tcPr>
          <w:p w:rsidR="00C73975" w:rsidRPr="00384FC8" w:rsidRDefault="00C73975" w:rsidP="00C73975">
            <w:pPr>
              <w:keepNext/>
              <w:keepLines/>
              <w:spacing w:beforeLines="20" w:before="48" w:afterLines="20" w:after="48"/>
              <w:rPr>
                <w:lang w:val="en-US"/>
              </w:rPr>
            </w:pPr>
          </w:p>
        </w:tc>
        <w:tc>
          <w:tcPr>
            <w:tcW w:w="1914" w:type="dxa"/>
            <w:gridSpan w:val="2"/>
          </w:tcPr>
          <w:p w:rsidR="00C73975" w:rsidRPr="00384FC8" w:rsidRDefault="00C73975" w:rsidP="00C73975">
            <w:pPr>
              <w:keepNext/>
              <w:keepLines/>
              <w:spacing w:beforeLines="20" w:before="48" w:afterLines="20" w:after="48"/>
              <w:jc w:val="center"/>
              <w:rPr>
                <w:lang w:val="en-US"/>
              </w:rPr>
            </w:pPr>
            <w:r w:rsidRPr="00384FC8">
              <w:rPr>
                <w:lang w:val="en-US"/>
              </w:rPr>
              <w:t>100 kV</w:t>
            </w:r>
          </w:p>
        </w:tc>
        <w:tc>
          <w:tcPr>
            <w:tcW w:w="1915" w:type="dxa"/>
            <w:gridSpan w:val="2"/>
            <w:vAlign w:val="center"/>
          </w:tcPr>
          <w:p w:rsidR="00C73975" w:rsidRPr="00384FC8" w:rsidRDefault="00C73975" w:rsidP="00C73975">
            <w:pPr>
              <w:keepNext/>
              <w:keepLines/>
              <w:spacing w:beforeLines="20" w:before="48" w:afterLines="20" w:after="48"/>
              <w:jc w:val="center"/>
              <w:rPr>
                <w:lang w:val="en-US"/>
              </w:rPr>
            </w:pPr>
            <w:r w:rsidRPr="00384FC8">
              <w:rPr>
                <w:lang w:val="en-US"/>
              </w:rPr>
              <w:t>135 kV</w:t>
            </w:r>
          </w:p>
        </w:tc>
        <w:tc>
          <w:tcPr>
            <w:tcW w:w="1914" w:type="dxa"/>
            <w:gridSpan w:val="2"/>
          </w:tcPr>
          <w:p w:rsidR="00C73975" w:rsidRPr="00384FC8" w:rsidRDefault="00C73975" w:rsidP="00C73975">
            <w:pPr>
              <w:keepNext/>
              <w:keepLines/>
              <w:spacing w:beforeLines="20" w:before="48" w:afterLines="20" w:after="48"/>
              <w:jc w:val="center"/>
              <w:rPr>
                <w:lang w:val="en-US"/>
              </w:rPr>
            </w:pPr>
            <w:r w:rsidRPr="00384FC8">
              <w:rPr>
                <w:lang w:val="en-US"/>
              </w:rPr>
              <w:t>180 kV</w:t>
            </w:r>
          </w:p>
        </w:tc>
        <w:tc>
          <w:tcPr>
            <w:tcW w:w="1915" w:type="dxa"/>
            <w:gridSpan w:val="2"/>
            <w:vAlign w:val="center"/>
          </w:tcPr>
          <w:p w:rsidR="00C73975" w:rsidRPr="00384FC8" w:rsidRDefault="00C73975" w:rsidP="00C73975">
            <w:pPr>
              <w:keepNext/>
              <w:keepLines/>
              <w:spacing w:beforeLines="20" w:before="48" w:afterLines="20" w:after="48"/>
              <w:jc w:val="center"/>
              <w:rPr>
                <w:lang w:val="en-US"/>
              </w:rPr>
            </w:pPr>
            <w:r w:rsidRPr="00384FC8">
              <w:rPr>
                <w:lang w:val="en-US"/>
              </w:rPr>
              <w:t>250 kV</w:t>
            </w:r>
          </w:p>
        </w:tc>
      </w:tr>
      <w:tr w:rsidR="00C73975" w:rsidTr="00910F09">
        <w:tc>
          <w:tcPr>
            <w:tcW w:w="1414" w:type="dxa"/>
            <w:tcBorders>
              <w:top w:val="nil"/>
            </w:tcBorders>
            <w:vAlign w:val="center"/>
          </w:tcPr>
          <w:p w:rsidR="00C73975" w:rsidRPr="00384FC8" w:rsidRDefault="00C73975" w:rsidP="00C73975">
            <w:pPr>
              <w:keepNext/>
              <w:keepLines/>
              <w:spacing w:beforeLines="20" w:before="48" w:afterLines="20" w:after="48"/>
              <w:rPr>
                <w:lang w:val="en-US"/>
              </w:rPr>
            </w:pPr>
          </w:p>
        </w:tc>
        <w:tc>
          <w:tcPr>
            <w:tcW w:w="957" w:type="dxa"/>
            <w:tcBorders>
              <w:bottom w:val="single" w:sz="4" w:space="0" w:color="auto"/>
            </w:tcBorders>
          </w:tcPr>
          <w:p w:rsidR="00C73975" w:rsidRPr="00384FC8" w:rsidRDefault="00C73975" w:rsidP="00C73975">
            <w:pPr>
              <w:keepNext/>
              <w:keepLines/>
              <w:spacing w:beforeLines="20" w:before="48" w:afterLines="20" w:after="48"/>
              <w:jc w:val="center"/>
              <w:rPr>
                <w:lang w:val="en-US"/>
              </w:rPr>
            </w:pPr>
            <w:r w:rsidRPr="00384FC8">
              <w:rPr>
                <w:lang w:val="en-US"/>
              </w:rPr>
              <w:t>value</w:t>
            </w:r>
          </w:p>
        </w:tc>
        <w:tc>
          <w:tcPr>
            <w:tcW w:w="957" w:type="dxa"/>
            <w:tcBorders>
              <w:bottom w:val="single" w:sz="4" w:space="0" w:color="auto"/>
            </w:tcBorders>
          </w:tcPr>
          <w:p w:rsidR="00C73975" w:rsidRPr="00384FC8" w:rsidRDefault="00C73975" w:rsidP="00C73975">
            <w:pPr>
              <w:keepNext/>
              <w:keepLines/>
              <w:spacing w:beforeLines="20" w:before="48" w:afterLines="20" w:after="48"/>
              <w:jc w:val="center"/>
              <w:rPr>
                <w:lang w:val="en-US"/>
              </w:rPr>
            </w:pPr>
            <w:r w:rsidRPr="004632CD">
              <w:rPr>
                <w:rFonts w:ascii="Symbol" w:hAnsi="Symbol"/>
                <w:i/>
                <w:lang w:val="en-US"/>
              </w:rPr>
              <w:t></w:t>
            </w:r>
            <w:r w:rsidRPr="004632CD">
              <w:rPr>
                <w:vertAlign w:val="subscript"/>
                <w:lang w:val="en-US"/>
              </w:rPr>
              <w:t>A</w:t>
            </w:r>
            <w:r>
              <w:rPr>
                <w:lang w:val="en-US"/>
              </w:rPr>
              <w:t xml:space="preserve"> /</w:t>
            </w:r>
            <w:r w:rsidRPr="00125A3C">
              <w:rPr>
                <w:lang w:val="en-US"/>
              </w:rPr>
              <w:t xml:space="preserve"> %</w:t>
            </w:r>
          </w:p>
        </w:tc>
        <w:tc>
          <w:tcPr>
            <w:tcW w:w="957" w:type="dxa"/>
            <w:tcBorders>
              <w:bottom w:val="single" w:sz="4" w:space="0" w:color="auto"/>
            </w:tcBorders>
          </w:tcPr>
          <w:p w:rsidR="00C73975" w:rsidRPr="00384FC8" w:rsidRDefault="00C73975" w:rsidP="00C73975">
            <w:pPr>
              <w:keepNext/>
              <w:keepLines/>
              <w:spacing w:beforeLines="20" w:before="48" w:afterLines="20" w:after="48"/>
              <w:jc w:val="center"/>
              <w:rPr>
                <w:lang w:val="en-US"/>
              </w:rPr>
            </w:pPr>
            <w:r w:rsidRPr="00384FC8">
              <w:rPr>
                <w:lang w:val="en-US"/>
              </w:rPr>
              <w:t>value</w:t>
            </w:r>
          </w:p>
        </w:tc>
        <w:tc>
          <w:tcPr>
            <w:tcW w:w="958" w:type="dxa"/>
            <w:tcBorders>
              <w:bottom w:val="single" w:sz="4" w:space="0" w:color="auto"/>
            </w:tcBorders>
          </w:tcPr>
          <w:p w:rsidR="00C73975" w:rsidRPr="00384FC8" w:rsidRDefault="00C73975" w:rsidP="00C73975">
            <w:pPr>
              <w:keepNext/>
              <w:keepLines/>
              <w:spacing w:beforeLines="20" w:before="48" w:afterLines="20" w:after="48"/>
              <w:jc w:val="center"/>
              <w:rPr>
                <w:lang w:val="en-US"/>
              </w:rPr>
            </w:pPr>
            <w:r w:rsidRPr="004632CD">
              <w:rPr>
                <w:rFonts w:ascii="Symbol" w:hAnsi="Symbol"/>
                <w:i/>
                <w:lang w:val="en-US"/>
              </w:rPr>
              <w:t></w:t>
            </w:r>
            <w:r w:rsidRPr="004632CD">
              <w:rPr>
                <w:vertAlign w:val="subscript"/>
                <w:lang w:val="en-US"/>
              </w:rPr>
              <w:t>A</w:t>
            </w:r>
            <w:r>
              <w:rPr>
                <w:lang w:val="en-US"/>
              </w:rPr>
              <w:t xml:space="preserve"> /</w:t>
            </w:r>
            <w:r w:rsidRPr="00125A3C">
              <w:rPr>
                <w:lang w:val="en-US"/>
              </w:rPr>
              <w:t xml:space="preserve"> %</w:t>
            </w:r>
          </w:p>
        </w:tc>
        <w:tc>
          <w:tcPr>
            <w:tcW w:w="957" w:type="dxa"/>
            <w:tcBorders>
              <w:bottom w:val="single" w:sz="4" w:space="0" w:color="auto"/>
            </w:tcBorders>
          </w:tcPr>
          <w:p w:rsidR="00C73975" w:rsidRPr="00384FC8" w:rsidRDefault="00C73975" w:rsidP="00C73975">
            <w:pPr>
              <w:keepNext/>
              <w:keepLines/>
              <w:spacing w:beforeLines="20" w:before="48" w:afterLines="20" w:after="48"/>
              <w:jc w:val="center"/>
              <w:rPr>
                <w:lang w:val="en-US"/>
              </w:rPr>
            </w:pPr>
            <w:r w:rsidRPr="00384FC8">
              <w:rPr>
                <w:lang w:val="en-US"/>
              </w:rPr>
              <w:t>value</w:t>
            </w:r>
          </w:p>
        </w:tc>
        <w:tc>
          <w:tcPr>
            <w:tcW w:w="957" w:type="dxa"/>
            <w:tcBorders>
              <w:bottom w:val="single" w:sz="4" w:space="0" w:color="auto"/>
            </w:tcBorders>
          </w:tcPr>
          <w:p w:rsidR="00C73975" w:rsidRPr="00384FC8" w:rsidRDefault="00C73975" w:rsidP="00C73975">
            <w:pPr>
              <w:keepNext/>
              <w:keepLines/>
              <w:spacing w:beforeLines="20" w:before="48" w:afterLines="20" w:after="48"/>
              <w:jc w:val="center"/>
              <w:rPr>
                <w:lang w:val="en-US"/>
              </w:rPr>
            </w:pPr>
            <w:r w:rsidRPr="004632CD">
              <w:rPr>
                <w:rFonts w:ascii="Symbol" w:hAnsi="Symbol"/>
                <w:i/>
                <w:lang w:val="en-US"/>
              </w:rPr>
              <w:t></w:t>
            </w:r>
            <w:r w:rsidRPr="004632CD">
              <w:rPr>
                <w:vertAlign w:val="subscript"/>
                <w:lang w:val="en-US"/>
              </w:rPr>
              <w:t>A</w:t>
            </w:r>
            <w:r>
              <w:rPr>
                <w:lang w:val="en-US"/>
              </w:rPr>
              <w:t xml:space="preserve"> /</w:t>
            </w:r>
            <w:r w:rsidRPr="00125A3C">
              <w:rPr>
                <w:lang w:val="en-US"/>
              </w:rPr>
              <w:t xml:space="preserve"> %</w:t>
            </w:r>
          </w:p>
        </w:tc>
        <w:tc>
          <w:tcPr>
            <w:tcW w:w="957" w:type="dxa"/>
            <w:tcBorders>
              <w:bottom w:val="single" w:sz="4" w:space="0" w:color="auto"/>
            </w:tcBorders>
          </w:tcPr>
          <w:p w:rsidR="00C73975" w:rsidRPr="00384FC8" w:rsidRDefault="00C73975" w:rsidP="00C73975">
            <w:pPr>
              <w:keepNext/>
              <w:keepLines/>
              <w:spacing w:beforeLines="20" w:before="48" w:afterLines="20" w:after="48"/>
              <w:jc w:val="center"/>
              <w:rPr>
                <w:lang w:val="en-US"/>
              </w:rPr>
            </w:pPr>
            <w:r w:rsidRPr="00384FC8">
              <w:rPr>
                <w:lang w:val="en-US"/>
              </w:rPr>
              <w:t>value</w:t>
            </w:r>
          </w:p>
        </w:tc>
        <w:tc>
          <w:tcPr>
            <w:tcW w:w="958" w:type="dxa"/>
            <w:tcBorders>
              <w:bottom w:val="single" w:sz="4" w:space="0" w:color="auto"/>
            </w:tcBorders>
          </w:tcPr>
          <w:p w:rsidR="00C73975" w:rsidRPr="00384FC8" w:rsidRDefault="00C73975" w:rsidP="00C73975">
            <w:pPr>
              <w:keepNext/>
              <w:keepLines/>
              <w:spacing w:beforeLines="20" w:before="48" w:afterLines="20" w:after="48"/>
              <w:jc w:val="center"/>
              <w:rPr>
                <w:lang w:val="en-US"/>
              </w:rPr>
            </w:pPr>
            <w:r w:rsidRPr="004632CD">
              <w:rPr>
                <w:rFonts w:ascii="Symbol" w:hAnsi="Symbol"/>
                <w:i/>
                <w:lang w:val="en-US"/>
              </w:rPr>
              <w:t></w:t>
            </w:r>
            <w:r w:rsidRPr="004632CD">
              <w:rPr>
                <w:vertAlign w:val="subscript"/>
                <w:lang w:val="en-US"/>
              </w:rPr>
              <w:t>A</w:t>
            </w:r>
            <w:r>
              <w:rPr>
                <w:lang w:val="en-US"/>
              </w:rPr>
              <w:t xml:space="preserve"> /</w:t>
            </w:r>
            <w:r w:rsidRPr="00125A3C">
              <w:rPr>
                <w:lang w:val="en-US"/>
              </w:rPr>
              <w:t xml:space="preserve"> %</w:t>
            </w:r>
          </w:p>
        </w:tc>
      </w:tr>
      <w:tr w:rsidR="00C73975" w:rsidTr="00910F09">
        <w:tc>
          <w:tcPr>
            <w:tcW w:w="1414" w:type="dxa"/>
            <w:vAlign w:val="center"/>
          </w:tcPr>
          <w:p w:rsidR="00C73975" w:rsidRPr="00384FC8" w:rsidRDefault="00C73975" w:rsidP="00C73975">
            <w:pPr>
              <w:keepNext/>
              <w:keepLines/>
              <w:spacing w:beforeLines="20" w:before="48" w:afterLines="20" w:after="48"/>
              <w:rPr>
                <w:i/>
                <w:lang w:val="en-US"/>
              </w:rPr>
            </w:pPr>
            <w:r w:rsidRPr="00384FC8">
              <w:rPr>
                <w:i/>
                <w:lang w:val="en-US"/>
              </w:rPr>
              <w:t>Exradin A12</w:t>
            </w:r>
          </w:p>
        </w:tc>
        <w:tc>
          <w:tcPr>
            <w:tcW w:w="957" w:type="dxa"/>
            <w:tcBorders>
              <w:right w:val="nil"/>
            </w:tcBorders>
          </w:tcPr>
          <w:p w:rsidR="00C73975" w:rsidRPr="00384FC8" w:rsidRDefault="00C73975" w:rsidP="00C73975">
            <w:pPr>
              <w:keepNext/>
              <w:keepLines/>
              <w:spacing w:beforeLines="20" w:before="48" w:afterLines="20" w:after="48"/>
              <w:jc w:val="center"/>
              <w:rPr>
                <w:lang w:val="en-US"/>
              </w:rPr>
            </w:pPr>
          </w:p>
        </w:tc>
        <w:tc>
          <w:tcPr>
            <w:tcW w:w="957" w:type="dxa"/>
            <w:tcBorders>
              <w:left w:val="nil"/>
              <w:right w:val="nil"/>
            </w:tcBorders>
          </w:tcPr>
          <w:p w:rsidR="00C73975" w:rsidRPr="00384FC8" w:rsidRDefault="00C73975" w:rsidP="00C73975">
            <w:pPr>
              <w:keepNext/>
              <w:keepLines/>
              <w:spacing w:beforeLines="20" w:before="48" w:afterLines="20" w:after="48"/>
              <w:jc w:val="center"/>
              <w:rPr>
                <w:lang w:val="en-US"/>
              </w:rPr>
            </w:pPr>
          </w:p>
        </w:tc>
        <w:tc>
          <w:tcPr>
            <w:tcW w:w="957" w:type="dxa"/>
            <w:tcBorders>
              <w:left w:val="nil"/>
              <w:right w:val="nil"/>
            </w:tcBorders>
            <w:vAlign w:val="center"/>
          </w:tcPr>
          <w:p w:rsidR="00C73975" w:rsidRPr="00384FC8" w:rsidRDefault="00C73975" w:rsidP="00C73975">
            <w:pPr>
              <w:keepNext/>
              <w:keepLines/>
              <w:spacing w:beforeLines="20" w:before="48" w:afterLines="20" w:after="48"/>
              <w:jc w:val="center"/>
              <w:rPr>
                <w:lang w:val="en-US"/>
              </w:rPr>
            </w:pPr>
          </w:p>
        </w:tc>
        <w:tc>
          <w:tcPr>
            <w:tcW w:w="958" w:type="dxa"/>
            <w:tcBorders>
              <w:left w:val="nil"/>
              <w:right w:val="nil"/>
            </w:tcBorders>
          </w:tcPr>
          <w:p w:rsidR="00C73975" w:rsidRPr="00384FC8" w:rsidRDefault="00C73975" w:rsidP="00C73975">
            <w:pPr>
              <w:keepNext/>
              <w:keepLines/>
              <w:spacing w:beforeLines="20" w:before="48" w:afterLines="20" w:after="48"/>
              <w:jc w:val="center"/>
              <w:rPr>
                <w:lang w:val="en-US"/>
              </w:rPr>
            </w:pPr>
          </w:p>
        </w:tc>
        <w:tc>
          <w:tcPr>
            <w:tcW w:w="957" w:type="dxa"/>
            <w:tcBorders>
              <w:left w:val="nil"/>
              <w:right w:val="nil"/>
            </w:tcBorders>
          </w:tcPr>
          <w:p w:rsidR="00C73975" w:rsidRPr="00384FC8" w:rsidRDefault="00C73975" w:rsidP="00C73975">
            <w:pPr>
              <w:keepNext/>
              <w:keepLines/>
              <w:spacing w:beforeLines="20" w:before="48" w:afterLines="20" w:after="48"/>
              <w:jc w:val="center"/>
              <w:rPr>
                <w:lang w:val="en-US"/>
              </w:rPr>
            </w:pPr>
          </w:p>
        </w:tc>
        <w:tc>
          <w:tcPr>
            <w:tcW w:w="957" w:type="dxa"/>
            <w:tcBorders>
              <w:left w:val="nil"/>
              <w:right w:val="nil"/>
            </w:tcBorders>
            <w:vAlign w:val="center"/>
          </w:tcPr>
          <w:p w:rsidR="00C73975" w:rsidRPr="00384FC8" w:rsidRDefault="00C73975" w:rsidP="00C73975">
            <w:pPr>
              <w:keepNext/>
              <w:keepLines/>
              <w:spacing w:beforeLines="20" w:before="48" w:afterLines="20" w:after="48"/>
              <w:jc w:val="center"/>
              <w:rPr>
                <w:lang w:val="en-US"/>
              </w:rPr>
            </w:pPr>
          </w:p>
        </w:tc>
        <w:tc>
          <w:tcPr>
            <w:tcW w:w="957" w:type="dxa"/>
            <w:tcBorders>
              <w:left w:val="nil"/>
              <w:right w:val="nil"/>
            </w:tcBorders>
            <w:vAlign w:val="center"/>
          </w:tcPr>
          <w:p w:rsidR="00C73975" w:rsidRPr="00384FC8" w:rsidRDefault="00C73975" w:rsidP="00C73975">
            <w:pPr>
              <w:keepNext/>
              <w:keepLines/>
              <w:spacing w:beforeLines="20" w:before="48" w:afterLines="20" w:after="48"/>
              <w:jc w:val="center"/>
              <w:rPr>
                <w:lang w:val="en-US"/>
              </w:rPr>
            </w:pPr>
          </w:p>
        </w:tc>
        <w:tc>
          <w:tcPr>
            <w:tcW w:w="958" w:type="dxa"/>
            <w:tcBorders>
              <w:left w:val="nil"/>
            </w:tcBorders>
            <w:vAlign w:val="center"/>
          </w:tcPr>
          <w:p w:rsidR="00C73975" w:rsidRPr="00384FC8" w:rsidRDefault="00C73975" w:rsidP="00C73975">
            <w:pPr>
              <w:keepNext/>
              <w:keepLines/>
              <w:spacing w:beforeLines="20" w:before="48" w:afterLines="20" w:after="48"/>
              <w:jc w:val="center"/>
              <w:rPr>
                <w:lang w:val="en-US"/>
              </w:rPr>
            </w:pPr>
          </w:p>
        </w:tc>
      </w:tr>
      <w:tr w:rsidR="00C73975" w:rsidTr="00910F09">
        <w:tc>
          <w:tcPr>
            <w:tcW w:w="1414" w:type="dxa"/>
            <w:vAlign w:val="center"/>
          </w:tcPr>
          <w:p w:rsidR="00C73975" w:rsidRPr="00384FC8" w:rsidRDefault="00C73975" w:rsidP="00C73975">
            <w:pPr>
              <w:keepNext/>
              <w:keepLines/>
              <w:spacing w:beforeLines="20" w:before="48" w:afterLines="20" w:after="48"/>
              <w:rPr>
                <w:lang w:val="en-US"/>
              </w:rPr>
            </w:pPr>
            <w:r w:rsidRPr="00384FC8">
              <w:rPr>
                <w:i/>
                <w:lang w:val="en-US"/>
              </w:rPr>
              <w:t>C</w:t>
            </w:r>
            <w:r w:rsidR="006A73F8">
              <w:rPr>
                <w:vertAlign w:val="subscript"/>
                <w:lang w:val="en-US"/>
              </w:rPr>
              <w:t>MC</w:t>
            </w:r>
          </w:p>
        </w:tc>
        <w:tc>
          <w:tcPr>
            <w:tcW w:w="957" w:type="dxa"/>
            <w:vAlign w:val="center"/>
          </w:tcPr>
          <w:p w:rsidR="00C73975" w:rsidRPr="00384FC8" w:rsidRDefault="00C73975" w:rsidP="00C73975">
            <w:pPr>
              <w:keepNext/>
              <w:keepLines/>
              <w:jc w:val="center"/>
            </w:pPr>
            <w:r w:rsidRPr="00384FC8">
              <w:t>1.0356</w:t>
            </w:r>
          </w:p>
        </w:tc>
        <w:tc>
          <w:tcPr>
            <w:tcW w:w="957" w:type="dxa"/>
            <w:vAlign w:val="center"/>
          </w:tcPr>
          <w:p w:rsidR="00C73975" w:rsidRPr="00384FC8" w:rsidRDefault="00C73975" w:rsidP="00C73975">
            <w:pPr>
              <w:keepNext/>
              <w:keepLines/>
              <w:jc w:val="center"/>
            </w:pPr>
            <w:r>
              <w:t>0.</w:t>
            </w:r>
            <w:r w:rsidR="00047F4B">
              <w:t>12</w:t>
            </w:r>
          </w:p>
        </w:tc>
        <w:tc>
          <w:tcPr>
            <w:tcW w:w="957" w:type="dxa"/>
            <w:vAlign w:val="center"/>
          </w:tcPr>
          <w:p w:rsidR="00C73975" w:rsidRPr="00384FC8" w:rsidRDefault="00C73975" w:rsidP="00C73975">
            <w:pPr>
              <w:keepNext/>
              <w:keepLines/>
              <w:jc w:val="center"/>
            </w:pPr>
            <w:r w:rsidRPr="00384FC8">
              <w:t>1.0667</w:t>
            </w:r>
          </w:p>
        </w:tc>
        <w:tc>
          <w:tcPr>
            <w:tcW w:w="958" w:type="dxa"/>
            <w:vAlign w:val="center"/>
          </w:tcPr>
          <w:p w:rsidR="00C73975" w:rsidRPr="00384FC8" w:rsidRDefault="00C73975" w:rsidP="00C73975">
            <w:pPr>
              <w:keepNext/>
              <w:keepLines/>
              <w:jc w:val="center"/>
            </w:pPr>
            <w:r>
              <w:t>0.</w:t>
            </w:r>
            <w:r w:rsidR="00047F4B">
              <w:t>12</w:t>
            </w:r>
          </w:p>
        </w:tc>
        <w:tc>
          <w:tcPr>
            <w:tcW w:w="957" w:type="dxa"/>
            <w:vAlign w:val="center"/>
          </w:tcPr>
          <w:p w:rsidR="00C73975" w:rsidRPr="00384FC8" w:rsidRDefault="00C73975" w:rsidP="00C73975">
            <w:pPr>
              <w:keepNext/>
              <w:keepLines/>
              <w:jc w:val="center"/>
            </w:pPr>
            <w:r w:rsidRPr="00384FC8">
              <w:t>1.0825</w:t>
            </w:r>
          </w:p>
        </w:tc>
        <w:tc>
          <w:tcPr>
            <w:tcW w:w="957" w:type="dxa"/>
            <w:vAlign w:val="center"/>
          </w:tcPr>
          <w:p w:rsidR="00C73975" w:rsidRPr="00384FC8" w:rsidRDefault="00C73975" w:rsidP="00C73975">
            <w:pPr>
              <w:keepNext/>
              <w:keepLines/>
              <w:jc w:val="center"/>
            </w:pPr>
            <w:r>
              <w:t>0.</w:t>
            </w:r>
            <w:r w:rsidR="00047F4B">
              <w:t>12</w:t>
            </w:r>
          </w:p>
        </w:tc>
        <w:tc>
          <w:tcPr>
            <w:tcW w:w="957" w:type="dxa"/>
            <w:vAlign w:val="center"/>
          </w:tcPr>
          <w:p w:rsidR="00C73975" w:rsidRPr="00384FC8" w:rsidRDefault="00C73975" w:rsidP="00C73975">
            <w:pPr>
              <w:keepNext/>
              <w:keepLines/>
              <w:jc w:val="center"/>
            </w:pPr>
            <w:r w:rsidRPr="00384FC8">
              <w:t>1.1012</w:t>
            </w:r>
          </w:p>
        </w:tc>
        <w:tc>
          <w:tcPr>
            <w:tcW w:w="958" w:type="dxa"/>
            <w:vAlign w:val="center"/>
          </w:tcPr>
          <w:p w:rsidR="00C73975" w:rsidRPr="00384FC8" w:rsidRDefault="00C73975" w:rsidP="00C73975">
            <w:pPr>
              <w:keepNext/>
              <w:keepLines/>
              <w:jc w:val="center"/>
            </w:pPr>
            <w:r>
              <w:t>0.</w:t>
            </w:r>
            <w:r w:rsidR="00047F4B">
              <w:t>12</w:t>
            </w:r>
          </w:p>
        </w:tc>
      </w:tr>
      <w:tr w:rsidR="00C73975" w:rsidTr="00910F09">
        <w:tc>
          <w:tcPr>
            <w:tcW w:w="1414" w:type="dxa"/>
            <w:vAlign w:val="center"/>
          </w:tcPr>
          <w:p w:rsidR="00C73975" w:rsidRPr="00384FC8" w:rsidRDefault="00481AD5" w:rsidP="00C73975">
            <w:pPr>
              <w:keepNext/>
              <w:keepLines/>
              <w:spacing w:beforeLines="20" w:before="48" w:afterLines="20" w:after="48"/>
              <w:rPr>
                <w:lang w:val="en-US"/>
              </w:rPr>
            </w:pPr>
            <w:proofErr w:type="spellStart"/>
            <w:r>
              <w:rPr>
                <w:i/>
                <w:lang w:val="en-US"/>
              </w:rPr>
              <w:t>Q</w:t>
            </w:r>
            <w:r w:rsidR="00C73975" w:rsidRPr="00384FC8">
              <w:rPr>
                <w:vertAlign w:val="subscript"/>
                <w:lang w:val="en-US"/>
              </w:rPr>
              <w:t>w</w:t>
            </w:r>
            <w:proofErr w:type="spellEnd"/>
            <w:r w:rsidR="00C73975" w:rsidRPr="00384FC8">
              <w:rPr>
                <w:lang w:val="en-US"/>
              </w:rPr>
              <w:t>/</w:t>
            </w:r>
            <w:proofErr w:type="spellStart"/>
            <w:r>
              <w:rPr>
                <w:i/>
                <w:lang w:val="en-US"/>
              </w:rPr>
              <w:t>Q</w:t>
            </w:r>
            <w:r w:rsidR="00C73975" w:rsidRPr="00384FC8">
              <w:rPr>
                <w:vertAlign w:val="subscript"/>
                <w:lang w:val="en-US"/>
              </w:rPr>
              <w:t>air</w:t>
            </w:r>
            <w:proofErr w:type="spellEnd"/>
          </w:p>
        </w:tc>
        <w:tc>
          <w:tcPr>
            <w:tcW w:w="957" w:type="dxa"/>
            <w:vAlign w:val="center"/>
          </w:tcPr>
          <w:p w:rsidR="00C73975" w:rsidRPr="00384FC8" w:rsidRDefault="00C73975" w:rsidP="00C73975">
            <w:pPr>
              <w:keepNext/>
              <w:keepLines/>
              <w:jc w:val="center"/>
            </w:pPr>
            <w:r w:rsidRPr="00384FC8">
              <w:t>1.1406</w:t>
            </w:r>
          </w:p>
        </w:tc>
        <w:tc>
          <w:tcPr>
            <w:tcW w:w="957" w:type="dxa"/>
            <w:vAlign w:val="center"/>
          </w:tcPr>
          <w:p w:rsidR="00C73975" w:rsidRPr="00384FC8" w:rsidRDefault="00C73975" w:rsidP="00C73975">
            <w:pPr>
              <w:keepNext/>
              <w:keepLines/>
              <w:jc w:val="center"/>
            </w:pPr>
            <w:r>
              <w:t>0.</w:t>
            </w:r>
            <w:r w:rsidRPr="00384FC8">
              <w:t>03</w:t>
            </w:r>
          </w:p>
        </w:tc>
        <w:tc>
          <w:tcPr>
            <w:tcW w:w="957" w:type="dxa"/>
            <w:vAlign w:val="center"/>
          </w:tcPr>
          <w:p w:rsidR="00C73975" w:rsidRPr="00384FC8" w:rsidRDefault="00C73975" w:rsidP="00C73975">
            <w:pPr>
              <w:keepNext/>
              <w:keepLines/>
              <w:jc w:val="center"/>
            </w:pPr>
            <w:r w:rsidRPr="00384FC8">
              <w:t>1.3355</w:t>
            </w:r>
          </w:p>
        </w:tc>
        <w:tc>
          <w:tcPr>
            <w:tcW w:w="958" w:type="dxa"/>
            <w:vAlign w:val="center"/>
          </w:tcPr>
          <w:p w:rsidR="00C73975" w:rsidRPr="00384FC8" w:rsidRDefault="00C73975" w:rsidP="00C73975">
            <w:pPr>
              <w:keepNext/>
              <w:keepLines/>
              <w:jc w:val="center"/>
            </w:pPr>
            <w:r>
              <w:t>0.</w:t>
            </w:r>
            <w:r w:rsidRPr="00384FC8">
              <w:t>08</w:t>
            </w:r>
          </w:p>
        </w:tc>
        <w:tc>
          <w:tcPr>
            <w:tcW w:w="957" w:type="dxa"/>
            <w:vAlign w:val="center"/>
          </w:tcPr>
          <w:p w:rsidR="00C73975" w:rsidRPr="00384FC8" w:rsidRDefault="00C73975" w:rsidP="00C73975">
            <w:pPr>
              <w:keepNext/>
              <w:keepLines/>
              <w:jc w:val="center"/>
            </w:pPr>
            <w:r w:rsidRPr="00384FC8">
              <w:t>1.3276</w:t>
            </w:r>
          </w:p>
        </w:tc>
        <w:tc>
          <w:tcPr>
            <w:tcW w:w="957" w:type="dxa"/>
            <w:vAlign w:val="center"/>
          </w:tcPr>
          <w:p w:rsidR="00C73975" w:rsidRPr="00384FC8" w:rsidRDefault="00C73975" w:rsidP="00C73975">
            <w:pPr>
              <w:keepNext/>
              <w:keepLines/>
              <w:jc w:val="center"/>
            </w:pPr>
            <w:r>
              <w:t>0.</w:t>
            </w:r>
            <w:r w:rsidRPr="00384FC8">
              <w:t>06</w:t>
            </w:r>
          </w:p>
        </w:tc>
        <w:tc>
          <w:tcPr>
            <w:tcW w:w="957" w:type="dxa"/>
            <w:vAlign w:val="center"/>
          </w:tcPr>
          <w:p w:rsidR="00C73975" w:rsidRPr="00384FC8" w:rsidRDefault="00C73975" w:rsidP="00C73975">
            <w:pPr>
              <w:keepNext/>
              <w:keepLines/>
              <w:jc w:val="center"/>
            </w:pPr>
            <w:r w:rsidRPr="00384FC8">
              <w:t>1.2359</w:t>
            </w:r>
          </w:p>
        </w:tc>
        <w:tc>
          <w:tcPr>
            <w:tcW w:w="958" w:type="dxa"/>
            <w:vAlign w:val="center"/>
          </w:tcPr>
          <w:p w:rsidR="00C73975" w:rsidRPr="00384FC8" w:rsidRDefault="00C73975" w:rsidP="00C73975">
            <w:pPr>
              <w:keepNext/>
              <w:keepLines/>
              <w:jc w:val="center"/>
            </w:pPr>
            <w:r>
              <w:t>0.</w:t>
            </w:r>
            <w:r w:rsidRPr="00384FC8">
              <w:t>07</w:t>
            </w:r>
          </w:p>
        </w:tc>
      </w:tr>
      <w:tr w:rsidR="00C73975" w:rsidTr="00910F09">
        <w:tc>
          <w:tcPr>
            <w:tcW w:w="1414" w:type="dxa"/>
            <w:vAlign w:val="center"/>
          </w:tcPr>
          <w:p w:rsidR="00C73975" w:rsidRPr="00384FC8" w:rsidRDefault="00C73975" w:rsidP="00C73975">
            <w:pPr>
              <w:keepNext/>
              <w:keepLines/>
              <w:spacing w:beforeLines="20" w:before="48" w:afterLines="20" w:after="48"/>
              <w:rPr>
                <w:lang w:val="en-US"/>
              </w:rPr>
            </w:pPr>
            <w:proofErr w:type="spellStart"/>
            <w:r w:rsidRPr="00384FC8">
              <w:rPr>
                <w:i/>
                <w:lang w:val="en-US"/>
              </w:rPr>
              <w:t>k</w:t>
            </w:r>
            <w:r w:rsidRPr="00384FC8">
              <w:rPr>
                <w:vertAlign w:val="subscript"/>
                <w:lang w:val="en-US"/>
              </w:rPr>
              <w:t>rn</w:t>
            </w:r>
            <w:proofErr w:type="spellEnd"/>
          </w:p>
        </w:tc>
        <w:tc>
          <w:tcPr>
            <w:tcW w:w="957" w:type="dxa"/>
            <w:vAlign w:val="center"/>
          </w:tcPr>
          <w:p w:rsidR="00C73975" w:rsidRPr="00384FC8" w:rsidRDefault="00C73975" w:rsidP="00C73975">
            <w:pPr>
              <w:keepNext/>
              <w:keepLines/>
              <w:jc w:val="center"/>
            </w:pPr>
            <w:r w:rsidRPr="00384FC8">
              <w:t>1.0035</w:t>
            </w:r>
          </w:p>
        </w:tc>
        <w:tc>
          <w:tcPr>
            <w:tcW w:w="957" w:type="dxa"/>
            <w:vAlign w:val="center"/>
          </w:tcPr>
          <w:p w:rsidR="00C73975" w:rsidRPr="00384FC8" w:rsidRDefault="00C73975" w:rsidP="00C73975">
            <w:pPr>
              <w:keepNext/>
              <w:keepLines/>
              <w:jc w:val="center"/>
            </w:pPr>
            <w:r>
              <w:t>0.</w:t>
            </w:r>
            <w:r w:rsidRPr="00384FC8">
              <w:t>03</w:t>
            </w:r>
          </w:p>
        </w:tc>
        <w:tc>
          <w:tcPr>
            <w:tcW w:w="957" w:type="dxa"/>
            <w:vAlign w:val="center"/>
          </w:tcPr>
          <w:p w:rsidR="00C73975" w:rsidRPr="00384FC8" w:rsidRDefault="00C73975" w:rsidP="00C73975">
            <w:pPr>
              <w:keepNext/>
              <w:keepLines/>
              <w:jc w:val="center"/>
            </w:pPr>
            <w:r w:rsidRPr="00384FC8">
              <w:t>1.0036</w:t>
            </w:r>
          </w:p>
        </w:tc>
        <w:tc>
          <w:tcPr>
            <w:tcW w:w="958" w:type="dxa"/>
            <w:vAlign w:val="center"/>
          </w:tcPr>
          <w:p w:rsidR="00C73975" w:rsidRPr="00384FC8" w:rsidRDefault="00C73975" w:rsidP="00C73975">
            <w:pPr>
              <w:keepNext/>
              <w:keepLines/>
              <w:jc w:val="center"/>
            </w:pPr>
            <w:r>
              <w:t>0.</w:t>
            </w:r>
            <w:r w:rsidRPr="00384FC8">
              <w:t>03</w:t>
            </w:r>
          </w:p>
        </w:tc>
        <w:tc>
          <w:tcPr>
            <w:tcW w:w="957" w:type="dxa"/>
            <w:vAlign w:val="center"/>
          </w:tcPr>
          <w:p w:rsidR="00C73975" w:rsidRPr="00384FC8" w:rsidRDefault="00C73975" w:rsidP="00C73975">
            <w:pPr>
              <w:keepNext/>
              <w:keepLines/>
              <w:jc w:val="center"/>
            </w:pPr>
            <w:r w:rsidRPr="00384FC8">
              <w:t>1.0033</w:t>
            </w:r>
          </w:p>
        </w:tc>
        <w:tc>
          <w:tcPr>
            <w:tcW w:w="957" w:type="dxa"/>
            <w:vAlign w:val="center"/>
          </w:tcPr>
          <w:p w:rsidR="00C73975" w:rsidRPr="00384FC8" w:rsidRDefault="00C73975" w:rsidP="00C73975">
            <w:pPr>
              <w:keepNext/>
              <w:keepLines/>
              <w:jc w:val="center"/>
            </w:pPr>
            <w:r>
              <w:t>0.</w:t>
            </w:r>
            <w:r w:rsidRPr="00384FC8">
              <w:t>03</w:t>
            </w:r>
          </w:p>
        </w:tc>
        <w:tc>
          <w:tcPr>
            <w:tcW w:w="957" w:type="dxa"/>
            <w:vAlign w:val="center"/>
          </w:tcPr>
          <w:p w:rsidR="00C73975" w:rsidRPr="00384FC8" w:rsidRDefault="00C73975" w:rsidP="00C73975">
            <w:pPr>
              <w:keepNext/>
              <w:keepLines/>
              <w:jc w:val="center"/>
            </w:pPr>
            <w:r w:rsidRPr="00384FC8">
              <w:t>1.0026</w:t>
            </w:r>
          </w:p>
        </w:tc>
        <w:tc>
          <w:tcPr>
            <w:tcW w:w="958" w:type="dxa"/>
            <w:vAlign w:val="center"/>
          </w:tcPr>
          <w:p w:rsidR="00C73975" w:rsidRPr="00384FC8" w:rsidRDefault="00C73975" w:rsidP="00C73975">
            <w:pPr>
              <w:keepNext/>
              <w:keepLines/>
              <w:jc w:val="center"/>
            </w:pPr>
            <w:r>
              <w:t>0.</w:t>
            </w:r>
            <w:r w:rsidRPr="00384FC8">
              <w:t>03</w:t>
            </w:r>
          </w:p>
        </w:tc>
      </w:tr>
      <w:tr w:rsidR="00C73975" w:rsidTr="00910F09">
        <w:tc>
          <w:tcPr>
            <w:tcW w:w="1414" w:type="dxa"/>
            <w:vAlign w:val="center"/>
          </w:tcPr>
          <w:p w:rsidR="00C73975" w:rsidRPr="00384FC8" w:rsidRDefault="00C73975" w:rsidP="00C73975">
            <w:pPr>
              <w:keepNext/>
              <w:keepLines/>
              <w:spacing w:beforeLines="20" w:before="48" w:afterLines="20" w:after="48"/>
              <w:rPr>
                <w:lang w:val="en-US"/>
              </w:rPr>
            </w:pPr>
            <w:proofErr w:type="spellStart"/>
            <w:r w:rsidRPr="00384FC8">
              <w:rPr>
                <w:i/>
                <w:lang w:val="en-US"/>
              </w:rPr>
              <w:t>D</w:t>
            </w:r>
            <w:r w:rsidRPr="00384FC8">
              <w:rPr>
                <w:vertAlign w:val="subscript"/>
                <w:lang w:val="en-US"/>
              </w:rPr>
              <w:t>w</w:t>
            </w:r>
            <w:proofErr w:type="spellEnd"/>
            <w:r w:rsidRPr="00384FC8">
              <w:rPr>
                <w:lang w:val="en-US"/>
              </w:rPr>
              <w:t>/</w:t>
            </w:r>
            <w:proofErr w:type="spellStart"/>
            <w:r w:rsidRPr="00384FC8">
              <w:rPr>
                <w:i/>
                <w:lang w:val="en-US"/>
              </w:rPr>
              <w:t>K</w:t>
            </w:r>
            <w:r w:rsidRPr="00384FC8">
              <w:rPr>
                <w:vertAlign w:val="subscript"/>
                <w:lang w:val="en-US"/>
              </w:rPr>
              <w:t>air</w:t>
            </w:r>
            <w:proofErr w:type="spellEnd"/>
          </w:p>
        </w:tc>
        <w:tc>
          <w:tcPr>
            <w:tcW w:w="957" w:type="dxa"/>
            <w:tcBorders>
              <w:bottom w:val="single" w:sz="4" w:space="0" w:color="auto"/>
            </w:tcBorders>
            <w:vAlign w:val="center"/>
          </w:tcPr>
          <w:p w:rsidR="00C73975" w:rsidRPr="00384FC8" w:rsidRDefault="00047F4B" w:rsidP="00C73975">
            <w:pPr>
              <w:keepNext/>
              <w:keepLines/>
              <w:jc w:val="center"/>
            </w:pPr>
            <w:r>
              <w:t>1.1853</w:t>
            </w:r>
          </w:p>
        </w:tc>
        <w:tc>
          <w:tcPr>
            <w:tcW w:w="957" w:type="dxa"/>
            <w:tcBorders>
              <w:bottom w:val="single" w:sz="4" w:space="0" w:color="auto"/>
            </w:tcBorders>
            <w:vAlign w:val="center"/>
          </w:tcPr>
          <w:p w:rsidR="00C73975" w:rsidRPr="00384FC8" w:rsidRDefault="00C73975" w:rsidP="00C73975">
            <w:pPr>
              <w:keepNext/>
              <w:keepLines/>
              <w:jc w:val="center"/>
            </w:pPr>
            <w:r>
              <w:t>0.</w:t>
            </w:r>
            <w:r w:rsidR="00047F4B">
              <w:t>13</w:t>
            </w:r>
          </w:p>
        </w:tc>
        <w:tc>
          <w:tcPr>
            <w:tcW w:w="957" w:type="dxa"/>
            <w:tcBorders>
              <w:bottom w:val="single" w:sz="4" w:space="0" w:color="auto"/>
            </w:tcBorders>
            <w:vAlign w:val="center"/>
          </w:tcPr>
          <w:p w:rsidR="00C73975" w:rsidRPr="00384FC8" w:rsidRDefault="00C73975" w:rsidP="00C73975">
            <w:pPr>
              <w:keepNext/>
              <w:keepLines/>
              <w:jc w:val="center"/>
            </w:pPr>
            <w:r w:rsidRPr="00384FC8">
              <w:t>1.4297</w:t>
            </w:r>
          </w:p>
        </w:tc>
        <w:tc>
          <w:tcPr>
            <w:tcW w:w="958" w:type="dxa"/>
            <w:tcBorders>
              <w:bottom w:val="single" w:sz="4" w:space="0" w:color="auto"/>
            </w:tcBorders>
            <w:vAlign w:val="center"/>
          </w:tcPr>
          <w:p w:rsidR="00C73975" w:rsidRPr="00384FC8" w:rsidRDefault="00C73975" w:rsidP="00C73975">
            <w:pPr>
              <w:keepNext/>
              <w:keepLines/>
              <w:jc w:val="center"/>
            </w:pPr>
            <w:r>
              <w:t>0.</w:t>
            </w:r>
            <w:r w:rsidR="00047F4B">
              <w:t>15</w:t>
            </w:r>
          </w:p>
        </w:tc>
        <w:tc>
          <w:tcPr>
            <w:tcW w:w="957" w:type="dxa"/>
            <w:tcBorders>
              <w:bottom w:val="single" w:sz="4" w:space="0" w:color="auto"/>
            </w:tcBorders>
            <w:vAlign w:val="center"/>
          </w:tcPr>
          <w:p w:rsidR="00C73975" w:rsidRPr="00384FC8" w:rsidRDefault="00C73975" w:rsidP="00C73975">
            <w:pPr>
              <w:keepNext/>
              <w:keepLines/>
              <w:jc w:val="center"/>
            </w:pPr>
            <w:r w:rsidRPr="00384FC8">
              <w:t>1.4419</w:t>
            </w:r>
          </w:p>
        </w:tc>
        <w:tc>
          <w:tcPr>
            <w:tcW w:w="957" w:type="dxa"/>
            <w:tcBorders>
              <w:bottom w:val="single" w:sz="4" w:space="0" w:color="auto"/>
            </w:tcBorders>
            <w:vAlign w:val="center"/>
          </w:tcPr>
          <w:p w:rsidR="00C73975" w:rsidRPr="00384FC8" w:rsidRDefault="00C73975" w:rsidP="00C73975">
            <w:pPr>
              <w:keepNext/>
              <w:keepLines/>
              <w:jc w:val="center"/>
            </w:pPr>
            <w:r>
              <w:t>0.</w:t>
            </w:r>
            <w:r w:rsidR="00047F4B">
              <w:t>14</w:t>
            </w:r>
          </w:p>
        </w:tc>
        <w:tc>
          <w:tcPr>
            <w:tcW w:w="957" w:type="dxa"/>
            <w:tcBorders>
              <w:bottom w:val="single" w:sz="4" w:space="0" w:color="auto"/>
            </w:tcBorders>
            <w:vAlign w:val="center"/>
          </w:tcPr>
          <w:p w:rsidR="00C73975" w:rsidRPr="00384FC8" w:rsidRDefault="00C73975" w:rsidP="00C73975">
            <w:pPr>
              <w:keepNext/>
              <w:keepLines/>
              <w:jc w:val="center"/>
            </w:pPr>
            <w:r w:rsidRPr="00384FC8">
              <w:t>1.3645</w:t>
            </w:r>
          </w:p>
        </w:tc>
        <w:tc>
          <w:tcPr>
            <w:tcW w:w="958" w:type="dxa"/>
            <w:tcBorders>
              <w:bottom w:val="single" w:sz="4" w:space="0" w:color="auto"/>
            </w:tcBorders>
            <w:vAlign w:val="center"/>
          </w:tcPr>
          <w:p w:rsidR="00C73975" w:rsidRPr="00384FC8" w:rsidRDefault="00C73975" w:rsidP="00C73975">
            <w:pPr>
              <w:keepNext/>
              <w:keepLines/>
              <w:jc w:val="center"/>
            </w:pPr>
            <w:r>
              <w:t>0.</w:t>
            </w:r>
            <w:r w:rsidR="00047F4B">
              <w:t>14</w:t>
            </w:r>
          </w:p>
        </w:tc>
      </w:tr>
      <w:tr w:rsidR="00C73975" w:rsidTr="00910F09">
        <w:tc>
          <w:tcPr>
            <w:tcW w:w="1414" w:type="dxa"/>
            <w:vAlign w:val="center"/>
          </w:tcPr>
          <w:p w:rsidR="00C73975" w:rsidRPr="00384FC8" w:rsidRDefault="00C73975" w:rsidP="00C73975">
            <w:pPr>
              <w:keepNext/>
              <w:keepLines/>
              <w:spacing w:beforeLines="20" w:before="48" w:afterLines="20" w:after="48"/>
              <w:rPr>
                <w:i/>
                <w:lang w:val="en-US"/>
              </w:rPr>
            </w:pPr>
            <w:r w:rsidRPr="00384FC8">
              <w:rPr>
                <w:i/>
                <w:lang w:val="en-US"/>
              </w:rPr>
              <w:t>PTW30013</w:t>
            </w:r>
          </w:p>
        </w:tc>
        <w:tc>
          <w:tcPr>
            <w:tcW w:w="957" w:type="dxa"/>
            <w:tcBorders>
              <w:right w:val="nil"/>
            </w:tcBorders>
            <w:vAlign w:val="center"/>
          </w:tcPr>
          <w:p w:rsidR="00C73975" w:rsidRPr="00384FC8" w:rsidRDefault="00C73975" w:rsidP="00C73975">
            <w:pPr>
              <w:keepNext/>
              <w:keepLines/>
              <w:jc w:val="center"/>
            </w:pPr>
          </w:p>
        </w:tc>
        <w:tc>
          <w:tcPr>
            <w:tcW w:w="957" w:type="dxa"/>
            <w:tcBorders>
              <w:left w:val="nil"/>
              <w:right w:val="nil"/>
            </w:tcBorders>
            <w:vAlign w:val="center"/>
          </w:tcPr>
          <w:p w:rsidR="00C73975" w:rsidRPr="00384FC8" w:rsidRDefault="00C73975" w:rsidP="00C73975">
            <w:pPr>
              <w:keepNext/>
              <w:keepLines/>
              <w:jc w:val="center"/>
            </w:pPr>
          </w:p>
        </w:tc>
        <w:tc>
          <w:tcPr>
            <w:tcW w:w="957" w:type="dxa"/>
            <w:tcBorders>
              <w:left w:val="nil"/>
              <w:right w:val="nil"/>
            </w:tcBorders>
            <w:vAlign w:val="center"/>
          </w:tcPr>
          <w:p w:rsidR="00C73975" w:rsidRPr="00384FC8" w:rsidRDefault="00C73975" w:rsidP="00C73975">
            <w:pPr>
              <w:keepNext/>
              <w:keepLines/>
              <w:jc w:val="center"/>
            </w:pPr>
          </w:p>
        </w:tc>
        <w:tc>
          <w:tcPr>
            <w:tcW w:w="958" w:type="dxa"/>
            <w:tcBorders>
              <w:left w:val="nil"/>
              <w:right w:val="nil"/>
            </w:tcBorders>
            <w:vAlign w:val="center"/>
          </w:tcPr>
          <w:p w:rsidR="00C73975" w:rsidRPr="00384FC8" w:rsidRDefault="00C73975" w:rsidP="00C73975">
            <w:pPr>
              <w:keepNext/>
              <w:keepLines/>
              <w:jc w:val="center"/>
            </w:pPr>
          </w:p>
        </w:tc>
        <w:tc>
          <w:tcPr>
            <w:tcW w:w="957" w:type="dxa"/>
            <w:tcBorders>
              <w:left w:val="nil"/>
              <w:right w:val="nil"/>
            </w:tcBorders>
            <w:vAlign w:val="center"/>
          </w:tcPr>
          <w:p w:rsidR="00C73975" w:rsidRPr="00384FC8" w:rsidRDefault="00C73975" w:rsidP="00C73975">
            <w:pPr>
              <w:keepNext/>
              <w:keepLines/>
              <w:jc w:val="center"/>
            </w:pPr>
          </w:p>
        </w:tc>
        <w:tc>
          <w:tcPr>
            <w:tcW w:w="957" w:type="dxa"/>
            <w:tcBorders>
              <w:left w:val="nil"/>
              <w:right w:val="nil"/>
            </w:tcBorders>
            <w:vAlign w:val="center"/>
          </w:tcPr>
          <w:p w:rsidR="00C73975" w:rsidRPr="00384FC8" w:rsidRDefault="00C73975" w:rsidP="00C73975">
            <w:pPr>
              <w:keepNext/>
              <w:keepLines/>
              <w:jc w:val="center"/>
            </w:pPr>
          </w:p>
        </w:tc>
        <w:tc>
          <w:tcPr>
            <w:tcW w:w="957" w:type="dxa"/>
            <w:tcBorders>
              <w:left w:val="nil"/>
              <w:right w:val="nil"/>
            </w:tcBorders>
            <w:vAlign w:val="center"/>
          </w:tcPr>
          <w:p w:rsidR="00C73975" w:rsidRPr="00384FC8" w:rsidRDefault="00C73975" w:rsidP="00C73975">
            <w:pPr>
              <w:keepNext/>
              <w:keepLines/>
              <w:jc w:val="center"/>
            </w:pPr>
          </w:p>
        </w:tc>
        <w:tc>
          <w:tcPr>
            <w:tcW w:w="958" w:type="dxa"/>
            <w:tcBorders>
              <w:left w:val="nil"/>
            </w:tcBorders>
            <w:vAlign w:val="center"/>
          </w:tcPr>
          <w:p w:rsidR="00C73975" w:rsidRPr="00384FC8" w:rsidRDefault="00C73975" w:rsidP="00C73975">
            <w:pPr>
              <w:keepNext/>
              <w:keepLines/>
              <w:jc w:val="center"/>
            </w:pPr>
          </w:p>
        </w:tc>
      </w:tr>
      <w:tr w:rsidR="00C73975" w:rsidTr="00910F09">
        <w:tc>
          <w:tcPr>
            <w:tcW w:w="1414" w:type="dxa"/>
            <w:vAlign w:val="center"/>
          </w:tcPr>
          <w:p w:rsidR="00C73975" w:rsidRPr="00384FC8" w:rsidRDefault="00C73975" w:rsidP="00C73975">
            <w:pPr>
              <w:keepNext/>
              <w:keepLines/>
              <w:spacing w:beforeLines="20" w:before="48" w:afterLines="20" w:after="48"/>
              <w:rPr>
                <w:lang w:val="en-US"/>
              </w:rPr>
            </w:pPr>
            <w:r w:rsidRPr="00384FC8">
              <w:rPr>
                <w:i/>
                <w:lang w:val="en-US"/>
              </w:rPr>
              <w:t>C</w:t>
            </w:r>
            <w:r w:rsidR="006A73F8">
              <w:rPr>
                <w:vertAlign w:val="subscript"/>
                <w:lang w:val="en-US"/>
              </w:rPr>
              <w:t>MC</w:t>
            </w:r>
          </w:p>
        </w:tc>
        <w:tc>
          <w:tcPr>
            <w:tcW w:w="957" w:type="dxa"/>
            <w:vAlign w:val="center"/>
          </w:tcPr>
          <w:p w:rsidR="00C73975" w:rsidRPr="00384FC8" w:rsidRDefault="00C73975" w:rsidP="00C73975">
            <w:pPr>
              <w:keepNext/>
              <w:keepLines/>
              <w:jc w:val="center"/>
            </w:pPr>
            <w:r w:rsidRPr="00384FC8">
              <w:t>1.0405</w:t>
            </w:r>
          </w:p>
        </w:tc>
        <w:tc>
          <w:tcPr>
            <w:tcW w:w="957" w:type="dxa"/>
            <w:vAlign w:val="center"/>
          </w:tcPr>
          <w:p w:rsidR="00C73975" w:rsidRPr="00384FC8" w:rsidRDefault="00C73975" w:rsidP="00C73975">
            <w:pPr>
              <w:keepNext/>
              <w:keepLines/>
              <w:jc w:val="center"/>
            </w:pPr>
            <w:r>
              <w:t>0.</w:t>
            </w:r>
            <w:r w:rsidR="00047F4B">
              <w:t>12</w:t>
            </w:r>
          </w:p>
        </w:tc>
        <w:tc>
          <w:tcPr>
            <w:tcW w:w="957" w:type="dxa"/>
            <w:vAlign w:val="center"/>
          </w:tcPr>
          <w:p w:rsidR="00C73975" w:rsidRPr="00384FC8" w:rsidRDefault="00C73975" w:rsidP="00C73975">
            <w:pPr>
              <w:keepNext/>
              <w:keepLines/>
              <w:jc w:val="center"/>
            </w:pPr>
            <w:r w:rsidRPr="00384FC8">
              <w:t>1.0717</w:t>
            </w:r>
          </w:p>
        </w:tc>
        <w:tc>
          <w:tcPr>
            <w:tcW w:w="958" w:type="dxa"/>
            <w:vAlign w:val="center"/>
          </w:tcPr>
          <w:p w:rsidR="00C73975" w:rsidRPr="00384FC8" w:rsidRDefault="00C73975" w:rsidP="00C73975">
            <w:pPr>
              <w:keepNext/>
              <w:keepLines/>
              <w:jc w:val="center"/>
            </w:pPr>
            <w:r>
              <w:t>0.</w:t>
            </w:r>
            <w:r w:rsidR="00047F4B">
              <w:t>12</w:t>
            </w:r>
          </w:p>
        </w:tc>
        <w:tc>
          <w:tcPr>
            <w:tcW w:w="957" w:type="dxa"/>
            <w:vAlign w:val="center"/>
          </w:tcPr>
          <w:p w:rsidR="00C73975" w:rsidRPr="00384FC8" w:rsidRDefault="00C73975" w:rsidP="00C73975">
            <w:pPr>
              <w:keepNext/>
              <w:keepLines/>
              <w:jc w:val="center"/>
            </w:pPr>
            <w:r w:rsidRPr="00384FC8">
              <w:t>1.0876</w:t>
            </w:r>
          </w:p>
        </w:tc>
        <w:tc>
          <w:tcPr>
            <w:tcW w:w="957" w:type="dxa"/>
            <w:vAlign w:val="center"/>
          </w:tcPr>
          <w:p w:rsidR="00C73975" w:rsidRPr="00384FC8" w:rsidRDefault="00C73975" w:rsidP="00C73975">
            <w:pPr>
              <w:keepNext/>
              <w:keepLines/>
              <w:jc w:val="center"/>
            </w:pPr>
            <w:r>
              <w:t>0.</w:t>
            </w:r>
            <w:r w:rsidR="00047F4B">
              <w:t>12</w:t>
            </w:r>
          </w:p>
        </w:tc>
        <w:tc>
          <w:tcPr>
            <w:tcW w:w="957" w:type="dxa"/>
            <w:vAlign w:val="center"/>
          </w:tcPr>
          <w:p w:rsidR="00C73975" w:rsidRPr="00384FC8" w:rsidRDefault="00C73975" w:rsidP="00C73975">
            <w:pPr>
              <w:keepNext/>
              <w:keepLines/>
              <w:jc w:val="center"/>
            </w:pPr>
            <w:r w:rsidRPr="00384FC8">
              <w:t>1.1064</w:t>
            </w:r>
          </w:p>
        </w:tc>
        <w:tc>
          <w:tcPr>
            <w:tcW w:w="958" w:type="dxa"/>
            <w:vAlign w:val="center"/>
          </w:tcPr>
          <w:p w:rsidR="00C73975" w:rsidRPr="00384FC8" w:rsidRDefault="00C73975" w:rsidP="00C73975">
            <w:pPr>
              <w:keepNext/>
              <w:keepLines/>
              <w:jc w:val="center"/>
            </w:pPr>
            <w:r>
              <w:t>0.</w:t>
            </w:r>
            <w:r w:rsidR="00047F4B">
              <w:t>12</w:t>
            </w:r>
          </w:p>
        </w:tc>
      </w:tr>
      <w:tr w:rsidR="00C73975" w:rsidTr="00910F09">
        <w:tc>
          <w:tcPr>
            <w:tcW w:w="1414" w:type="dxa"/>
            <w:vAlign w:val="center"/>
          </w:tcPr>
          <w:p w:rsidR="00C73975" w:rsidRPr="00384FC8" w:rsidRDefault="00481AD5" w:rsidP="00C73975">
            <w:pPr>
              <w:keepNext/>
              <w:keepLines/>
              <w:spacing w:beforeLines="20" w:before="48" w:afterLines="20" w:after="48"/>
              <w:rPr>
                <w:lang w:val="en-US"/>
              </w:rPr>
            </w:pPr>
            <w:proofErr w:type="spellStart"/>
            <w:r>
              <w:rPr>
                <w:i/>
                <w:lang w:val="en-US"/>
              </w:rPr>
              <w:t>Q</w:t>
            </w:r>
            <w:r w:rsidR="00C73975" w:rsidRPr="00384FC8">
              <w:rPr>
                <w:vertAlign w:val="subscript"/>
                <w:lang w:val="en-US"/>
              </w:rPr>
              <w:t>w</w:t>
            </w:r>
            <w:proofErr w:type="spellEnd"/>
            <w:r w:rsidR="00C73975" w:rsidRPr="00384FC8">
              <w:rPr>
                <w:lang w:val="en-US"/>
              </w:rPr>
              <w:t>/</w:t>
            </w:r>
            <w:proofErr w:type="spellStart"/>
            <w:r>
              <w:rPr>
                <w:i/>
                <w:lang w:val="en-US"/>
              </w:rPr>
              <w:t>Q</w:t>
            </w:r>
            <w:r w:rsidR="00C73975" w:rsidRPr="00384FC8">
              <w:rPr>
                <w:vertAlign w:val="subscript"/>
                <w:lang w:val="en-US"/>
              </w:rPr>
              <w:t>air</w:t>
            </w:r>
            <w:proofErr w:type="spellEnd"/>
          </w:p>
        </w:tc>
        <w:tc>
          <w:tcPr>
            <w:tcW w:w="957" w:type="dxa"/>
            <w:vAlign w:val="center"/>
          </w:tcPr>
          <w:p w:rsidR="00C73975" w:rsidRPr="00384FC8" w:rsidRDefault="00C73975" w:rsidP="00C73975">
            <w:pPr>
              <w:keepNext/>
              <w:keepLines/>
              <w:jc w:val="center"/>
            </w:pPr>
            <w:r w:rsidRPr="00384FC8">
              <w:t>1.1331</w:t>
            </w:r>
          </w:p>
        </w:tc>
        <w:tc>
          <w:tcPr>
            <w:tcW w:w="957" w:type="dxa"/>
            <w:vAlign w:val="center"/>
          </w:tcPr>
          <w:p w:rsidR="00C73975" w:rsidRPr="00384FC8" w:rsidRDefault="00C73975" w:rsidP="00C73975">
            <w:pPr>
              <w:keepNext/>
              <w:keepLines/>
              <w:jc w:val="center"/>
            </w:pPr>
            <w:r>
              <w:t>0.</w:t>
            </w:r>
            <w:r w:rsidRPr="00384FC8">
              <w:t>06</w:t>
            </w:r>
          </w:p>
        </w:tc>
        <w:tc>
          <w:tcPr>
            <w:tcW w:w="957" w:type="dxa"/>
            <w:vAlign w:val="center"/>
          </w:tcPr>
          <w:p w:rsidR="00C73975" w:rsidRPr="00384FC8" w:rsidRDefault="00C73975" w:rsidP="00C73975">
            <w:pPr>
              <w:keepNext/>
              <w:keepLines/>
              <w:jc w:val="center"/>
            </w:pPr>
            <w:r w:rsidRPr="00384FC8">
              <w:t>1.3294</w:t>
            </w:r>
          </w:p>
        </w:tc>
        <w:tc>
          <w:tcPr>
            <w:tcW w:w="958" w:type="dxa"/>
            <w:vAlign w:val="center"/>
          </w:tcPr>
          <w:p w:rsidR="00C73975" w:rsidRPr="00384FC8" w:rsidRDefault="00C73975" w:rsidP="00C73975">
            <w:pPr>
              <w:keepNext/>
              <w:keepLines/>
              <w:jc w:val="center"/>
            </w:pPr>
            <w:r>
              <w:t>0.</w:t>
            </w:r>
            <w:r w:rsidRPr="00384FC8">
              <w:t>07</w:t>
            </w:r>
          </w:p>
        </w:tc>
        <w:tc>
          <w:tcPr>
            <w:tcW w:w="957" w:type="dxa"/>
            <w:vAlign w:val="center"/>
          </w:tcPr>
          <w:p w:rsidR="00C73975" w:rsidRPr="00384FC8" w:rsidRDefault="00C73975" w:rsidP="00C73975">
            <w:pPr>
              <w:keepNext/>
              <w:keepLines/>
              <w:jc w:val="center"/>
            </w:pPr>
            <w:r w:rsidRPr="00384FC8">
              <w:t>1.3237</w:t>
            </w:r>
          </w:p>
        </w:tc>
        <w:tc>
          <w:tcPr>
            <w:tcW w:w="957" w:type="dxa"/>
            <w:vAlign w:val="center"/>
          </w:tcPr>
          <w:p w:rsidR="00C73975" w:rsidRPr="00384FC8" w:rsidRDefault="00C73975" w:rsidP="00C73975">
            <w:pPr>
              <w:keepNext/>
              <w:keepLines/>
              <w:jc w:val="center"/>
            </w:pPr>
            <w:r>
              <w:t>0.</w:t>
            </w:r>
            <w:r w:rsidRPr="00384FC8">
              <w:t>05</w:t>
            </w:r>
          </w:p>
        </w:tc>
        <w:tc>
          <w:tcPr>
            <w:tcW w:w="957" w:type="dxa"/>
            <w:vAlign w:val="center"/>
          </w:tcPr>
          <w:p w:rsidR="00C73975" w:rsidRPr="00384FC8" w:rsidRDefault="00C73975" w:rsidP="00C73975">
            <w:pPr>
              <w:keepNext/>
              <w:keepLines/>
              <w:jc w:val="center"/>
            </w:pPr>
            <w:r w:rsidRPr="00384FC8">
              <w:t>1.2355</w:t>
            </w:r>
          </w:p>
        </w:tc>
        <w:tc>
          <w:tcPr>
            <w:tcW w:w="958" w:type="dxa"/>
            <w:vAlign w:val="center"/>
          </w:tcPr>
          <w:p w:rsidR="00C73975" w:rsidRPr="00384FC8" w:rsidRDefault="00C73975" w:rsidP="00C73975">
            <w:pPr>
              <w:keepNext/>
              <w:keepLines/>
              <w:jc w:val="center"/>
            </w:pPr>
            <w:r>
              <w:t>0.</w:t>
            </w:r>
            <w:r w:rsidRPr="00384FC8">
              <w:t>02</w:t>
            </w:r>
          </w:p>
        </w:tc>
      </w:tr>
      <w:tr w:rsidR="00C73975" w:rsidTr="00910F09">
        <w:tc>
          <w:tcPr>
            <w:tcW w:w="1414" w:type="dxa"/>
            <w:vAlign w:val="center"/>
          </w:tcPr>
          <w:p w:rsidR="00C73975" w:rsidRPr="00384FC8" w:rsidRDefault="00C73975" w:rsidP="00C73975">
            <w:pPr>
              <w:keepNext/>
              <w:keepLines/>
              <w:spacing w:beforeLines="20" w:before="48" w:afterLines="20" w:after="48"/>
              <w:rPr>
                <w:lang w:val="en-US"/>
              </w:rPr>
            </w:pPr>
            <w:proofErr w:type="spellStart"/>
            <w:r w:rsidRPr="00384FC8">
              <w:rPr>
                <w:i/>
                <w:lang w:val="en-US"/>
              </w:rPr>
              <w:t>k</w:t>
            </w:r>
            <w:r w:rsidRPr="00384FC8">
              <w:rPr>
                <w:vertAlign w:val="subscript"/>
                <w:lang w:val="en-US"/>
              </w:rPr>
              <w:t>rn</w:t>
            </w:r>
            <w:proofErr w:type="spellEnd"/>
          </w:p>
        </w:tc>
        <w:tc>
          <w:tcPr>
            <w:tcW w:w="957" w:type="dxa"/>
            <w:vAlign w:val="center"/>
          </w:tcPr>
          <w:p w:rsidR="00C73975" w:rsidRPr="00384FC8" w:rsidRDefault="00C73975" w:rsidP="00C73975">
            <w:pPr>
              <w:keepNext/>
              <w:keepLines/>
              <w:jc w:val="center"/>
            </w:pPr>
            <w:r w:rsidRPr="00384FC8">
              <w:t>1.0031</w:t>
            </w:r>
          </w:p>
        </w:tc>
        <w:tc>
          <w:tcPr>
            <w:tcW w:w="957" w:type="dxa"/>
            <w:vAlign w:val="center"/>
          </w:tcPr>
          <w:p w:rsidR="00C73975" w:rsidRPr="00384FC8" w:rsidRDefault="00C73975" w:rsidP="00C73975">
            <w:pPr>
              <w:keepNext/>
              <w:keepLines/>
              <w:jc w:val="center"/>
            </w:pPr>
            <w:r>
              <w:t>0.</w:t>
            </w:r>
            <w:r w:rsidRPr="00384FC8">
              <w:t>03</w:t>
            </w:r>
          </w:p>
        </w:tc>
        <w:tc>
          <w:tcPr>
            <w:tcW w:w="957" w:type="dxa"/>
            <w:vAlign w:val="center"/>
          </w:tcPr>
          <w:p w:rsidR="00C73975" w:rsidRPr="00384FC8" w:rsidRDefault="00C73975" w:rsidP="00C73975">
            <w:pPr>
              <w:keepNext/>
              <w:keepLines/>
              <w:jc w:val="center"/>
            </w:pPr>
            <w:r w:rsidRPr="00384FC8">
              <w:t>1.0031</w:t>
            </w:r>
          </w:p>
        </w:tc>
        <w:tc>
          <w:tcPr>
            <w:tcW w:w="958" w:type="dxa"/>
            <w:vAlign w:val="center"/>
          </w:tcPr>
          <w:p w:rsidR="00C73975" w:rsidRPr="00384FC8" w:rsidRDefault="00C73975" w:rsidP="00C73975">
            <w:pPr>
              <w:keepNext/>
              <w:keepLines/>
              <w:jc w:val="center"/>
            </w:pPr>
            <w:r>
              <w:t>0.</w:t>
            </w:r>
            <w:r w:rsidRPr="00384FC8">
              <w:t>03</w:t>
            </w:r>
          </w:p>
        </w:tc>
        <w:tc>
          <w:tcPr>
            <w:tcW w:w="957" w:type="dxa"/>
            <w:vAlign w:val="center"/>
          </w:tcPr>
          <w:p w:rsidR="00C73975" w:rsidRPr="00384FC8" w:rsidRDefault="00C73975" w:rsidP="00C73975">
            <w:pPr>
              <w:keepNext/>
              <w:keepLines/>
              <w:jc w:val="center"/>
            </w:pPr>
            <w:r w:rsidRPr="00384FC8">
              <w:t>1.0029</w:t>
            </w:r>
          </w:p>
        </w:tc>
        <w:tc>
          <w:tcPr>
            <w:tcW w:w="957" w:type="dxa"/>
            <w:vAlign w:val="center"/>
          </w:tcPr>
          <w:p w:rsidR="00C73975" w:rsidRPr="00384FC8" w:rsidRDefault="00C73975" w:rsidP="00C73975">
            <w:pPr>
              <w:keepNext/>
              <w:keepLines/>
              <w:jc w:val="center"/>
            </w:pPr>
            <w:r>
              <w:t>0.</w:t>
            </w:r>
            <w:r w:rsidRPr="00384FC8">
              <w:t>03</w:t>
            </w:r>
          </w:p>
        </w:tc>
        <w:tc>
          <w:tcPr>
            <w:tcW w:w="957" w:type="dxa"/>
            <w:vAlign w:val="center"/>
          </w:tcPr>
          <w:p w:rsidR="00C73975" w:rsidRPr="00384FC8" w:rsidRDefault="00C73975" w:rsidP="00C73975">
            <w:pPr>
              <w:keepNext/>
              <w:keepLines/>
              <w:jc w:val="center"/>
            </w:pPr>
            <w:r w:rsidRPr="00384FC8">
              <w:t>1.0023</w:t>
            </w:r>
          </w:p>
        </w:tc>
        <w:tc>
          <w:tcPr>
            <w:tcW w:w="958" w:type="dxa"/>
            <w:vAlign w:val="center"/>
          </w:tcPr>
          <w:p w:rsidR="00C73975" w:rsidRPr="00384FC8" w:rsidRDefault="00C73975" w:rsidP="00C73975">
            <w:pPr>
              <w:keepNext/>
              <w:keepLines/>
              <w:jc w:val="center"/>
            </w:pPr>
            <w:r>
              <w:t>0.</w:t>
            </w:r>
            <w:r w:rsidRPr="00384FC8">
              <w:t>03</w:t>
            </w:r>
          </w:p>
        </w:tc>
      </w:tr>
      <w:tr w:rsidR="00C73975" w:rsidTr="00910F09">
        <w:tc>
          <w:tcPr>
            <w:tcW w:w="1414" w:type="dxa"/>
            <w:vAlign w:val="center"/>
          </w:tcPr>
          <w:p w:rsidR="00C73975" w:rsidRPr="00384FC8" w:rsidRDefault="00C73975" w:rsidP="00C73975">
            <w:pPr>
              <w:keepNext/>
              <w:keepLines/>
              <w:spacing w:beforeLines="20" w:before="48" w:afterLines="20" w:after="48"/>
              <w:rPr>
                <w:lang w:val="en-US"/>
              </w:rPr>
            </w:pPr>
            <w:proofErr w:type="spellStart"/>
            <w:r w:rsidRPr="00384FC8">
              <w:rPr>
                <w:i/>
                <w:lang w:val="en-US"/>
              </w:rPr>
              <w:t>D</w:t>
            </w:r>
            <w:r w:rsidRPr="00384FC8">
              <w:rPr>
                <w:vertAlign w:val="subscript"/>
                <w:lang w:val="en-US"/>
              </w:rPr>
              <w:t>w</w:t>
            </w:r>
            <w:proofErr w:type="spellEnd"/>
            <w:r w:rsidRPr="00384FC8">
              <w:rPr>
                <w:lang w:val="en-US"/>
              </w:rPr>
              <w:t>/</w:t>
            </w:r>
            <w:proofErr w:type="spellStart"/>
            <w:r w:rsidRPr="00384FC8">
              <w:rPr>
                <w:i/>
                <w:lang w:val="en-US"/>
              </w:rPr>
              <w:t>K</w:t>
            </w:r>
            <w:r w:rsidRPr="00384FC8">
              <w:rPr>
                <w:vertAlign w:val="subscript"/>
                <w:lang w:val="en-US"/>
              </w:rPr>
              <w:t>air</w:t>
            </w:r>
            <w:proofErr w:type="spellEnd"/>
          </w:p>
        </w:tc>
        <w:tc>
          <w:tcPr>
            <w:tcW w:w="957" w:type="dxa"/>
            <w:tcBorders>
              <w:bottom w:val="single" w:sz="4" w:space="0" w:color="auto"/>
            </w:tcBorders>
            <w:vAlign w:val="center"/>
          </w:tcPr>
          <w:p w:rsidR="00C73975" w:rsidRPr="00384FC8" w:rsidRDefault="00C73975" w:rsidP="00C73975">
            <w:pPr>
              <w:keepNext/>
              <w:keepLines/>
              <w:jc w:val="center"/>
            </w:pPr>
            <w:r w:rsidRPr="00384FC8">
              <w:t>1.1826</w:t>
            </w:r>
          </w:p>
        </w:tc>
        <w:tc>
          <w:tcPr>
            <w:tcW w:w="957" w:type="dxa"/>
            <w:tcBorders>
              <w:bottom w:val="single" w:sz="4" w:space="0" w:color="auto"/>
            </w:tcBorders>
            <w:vAlign w:val="center"/>
          </w:tcPr>
          <w:p w:rsidR="00C73975" w:rsidRPr="00384FC8" w:rsidRDefault="00C73975" w:rsidP="00C73975">
            <w:pPr>
              <w:keepNext/>
              <w:keepLines/>
              <w:jc w:val="center"/>
            </w:pPr>
            <w:r>
              <w:t>0.</w:t>
            </w:r>
            <w:r w:rsidR="00047F4B">
              <w:t>14</w:t>
            </w:r>
          </w:p>
        </w:tc>
        <w:tc>
          <w:tcPr>
            <w:tcW w:w="957" w:type="dxa"/>
            <w:tcBorders>
              <w:bottom w:val="single" w:sz="4" w:space="0" w:color="auto"/>
            </w:tcBorders>
            <w:vAlign w:val="center"/>
          </w:tcPr>
          <w:p w:rsidR="00C73975" w:rsidRPr="00384FC8" w:rsidRDefault="00047F4B" w:rsidP="00C73975">
            <w:pPr>
              <w:keepNext/>
              <w:keepLines/>
              <w:jc w:val="center"/>
            </w:pPr>
            <w:r>
              <w:t>1.4291</w:t>
            </w:r>
          </w:p>
        </w:tc>
        <w:tc>
          <w:tcPr>
            <w:tcW w:w="958" w:type="dxa"/>
            <w:tcBorders>
              <w:bottom w:val="single" w:sz="4" w:space="0" w:color="auto"/>
            </w:tcBorders>
            <w:vAlign w:val="center"/>
          </w:tcPr>
          <w:p w:rsidR="00C73975" w:rsidRPr="00384FC8" w:rsidRDefault="00C73975" w:rsidP="00C73975">
            <w:pPr>
              <w:keepNext/>
              <w:keepLines/>
              <w:jc w:val="center"/>
            </w:pPr>
            <w:r>
              <w:t>0.</w:t>
            </w:r>
            <w:r w:rsidR="00047F4B">
              <w:t>14</w:t>
            </w:r>
          </w:p>
        </w:tc>
        <w:tc>
          <w:tcPr>
            <w:tcW w:w="957" w:type="dxa"/>
            <w:tcBorders>
              <w:bottom w:val="single" w:sz="4" w:space="0" w:color="auto"/>
            </w:tcBorders>
            <w:vAlign w:val="center"/>
          </w:tcPr>
          <w:p w:rsidR="00C73975" w:rsidRPr="00384FC8" w:rsidRDefault="00047F4B" w:rsidP="00C73975">
            <w:pPr>
              <w:keepNext/>
              <w:keepLines/>
              <w:jc w:val="center"/>
            </w:pPr>
            <w:r>
              <w:t>1.4438</w:t>
            </w:r>
          </w:p>
        </w:tc>
        <w:tc>
          <w:tcPr>
            <w:tcW w:w="957" w:type="dxa"/>
            <w:tcBorders>
              <w:bottom w:val="single" w:sz="4" w:space="0" w:color="auto"/>
            </w:tcBorders>
            <w:vAlign w:val="center"/>
          </w:tcPr>
          <w:p w:rsidR="00C73975" w:rsidRPr="00384FC8" w:rsidRDefault="00C73975" w:rsidP="00C73975">
            <w:pPr>
              <w:keepNext/>
              <w:keepLines/>
              <w:jc w:val="center"/>
            </w:pPr>
            <w:r>
              <w:t>0.</w:t>
            </w:r>
            <w:r w:rsidR="00047F4B">
              <w:t>13</w:t>
            </w:r>
          </w:p>
        </w:tc>
        <w:tc>
          <w:tcPr>
            <w:tcW w:w="957" w:type="dxa"/>
            <w:tcBorders>
              <w:bottom w:val="single" w:sz="4" w:space="0" w:color="auto"/>
            </w:tcBorders>
            <w:vAlign w:val="center"/>
          </w:tcPr>
          <w:p w:rsidR="00C73975" w:rsidRPr="00384FC8" w:rsidRDefault="00047F4B" w:rsidP="00C73975">
            <w:pPr>
              <w:keepNext/>
              <w:keepLines/>
              <w:jc w:val="center"/>
            </w:pPr>
            <w:r>
              <w:t>1.3701</w:t>
            </w:r>
          </w:p>
        </w:tc>
        <w:tc>
          <w:tcPr>
            <w:tcW w:w="958" w:type="dxa"/>
            <w:tcBorders>
              <w:bottom w:val="single" w:sz="4" w:space="0" w:color="auto"/>
            </w:tcBorders>
            <w:vAlign w:val="center"/>
          </w:tcPr>
          <w:p w:rsidR="00C73975" w:rsidRPr="00384FC8" w:rsidRDefault="00C73975" w:rsidP="00C73975">
            <w:pPr>
              <w:keepNext/>
              <w:keepLines/>
              <w:jc w:val="center"/>
            </w:pPr>
            <w:r>
              <w:t>0.</w:t>
            </w:r>
            <w:r w:rsidR="00047F4B">
              <w:t>13</w:t>
            </w:r>
          </w:p>
        </w:tc>
      </w:tr>
    </w:tbl>
    <w:p w:rsidR="00C73975" w:rsidRDefault="00C73975">
      <w:pPr>
        <w:rPr>
          <w:sz w:val="24"/>
          <w:szCs w:val="24"/>
          <w:lang w:val="en-US"/>
        </w:rPr>
      </w:pPr>
    </w:p>
    <w:p w:rsidR="00417F30" w:rsidRPr="008C4817" w:rsidRDefault="00390D4A" w:rsidP="00D83B7E">
      <w:pPr>
        <w:keepNext/>
        <w:keepLines/>
        <w:rPr>
          <w:b/>
          <w:sz w:val="24"/>
          <w:szCs w:val="24"/>
          <w:lang w:val="en-US"/>
        </w:rPr>
      </w:pPr>
      <w:proofErr w:type="gramStart"/>
      <w:r w:rsidRPr="008C4817">
        <w:rPr>
          <w:b/>
          <w:sz w:val="24"/>
          <w:szCs w:val="24"/>
          <w:lang w:val="en-US"/>
        </w:rPr>
        <w:t>5  Uncertainty</w:t>
      </w:r>
      <w:proofErr w:type="gramEnd"/>
      <w:r w:rsidRPr="008C4817">
        <w:rPr>
          <w:b/>
          <w:sz w:val="24"/>
          <w:szCs w:val="24"/>
          <w:lang w:val="en-US"/>
        </w:rPr>
        <w:t xml:space="preserve"> analysis</w:t>
      </w:r>
    </w:p>
    <w:p w:rsidR="004D7C02" w:rsidRDefault="00B71F4D" w:rsidP="004D7C02">
      <w:pPr>
        <w:keepNext/>
        <w:keepLines/>
        <w:rPr>
          <w:sz w:val="24"/>
          <w:szCs w:val="24"/>
          <w:lang w:val="en-US"/>
        </w:rPr>
      </w:pPr>
      <w:r>
        <w:rPr>
          <w:sz w:val="24"/>
          <w:szCs w:val="24"/>
          <w:lang w:val="en-US"/>
        </w:rPr>
        <w:t>In addition to the elements listed in Section 2 aimed at reducing uncertainties, t</w:t>
      </w:r>
      <w:r w:rsidR="00390D4A">
        <w:rPr>
          <w:sz w:val="24"/>
          <w:szCs w:val="24"/>
          <w:lang w:val="en-US"/>
        </w:rPr>
        <w:t xml:space="preserve">he conversion factor </w:t>
      </w:r>
      <w:r w:rsidR="00390D4A" w:rsidRPr="00B71F4D">
        <w:rPr>
          <w:i/>
          <w:sz w:val="24"/>
          <w:szCs w:val="24"/>
          <w:lang w:val="en-US"/>
        </w:rPr>
        <w:t>C</w:t>
      </w:r>
      <w:r w:rsidR="006A73F8">
        <w:rPr>
          <w:sz w:val="24"/>
          <w:szCs w:val="24"/>
          <w:vertAlign w:val="subscript"/>
          <w:lang w:val="en-US"/>
        </w:rPr>
        <w:t>MC</w:t>
      </w:r>
      <w:r w:rsidR="00390D4A">
        <w:rPr>
          <w:sz w:val="24"/>
          <w:szCs w:val="24"/>
          <w:lang w:val="en-US"/>
        </w:rPr>
        <w:t xml:space="preserve"> </w:t>
      </w:r>
      <w:r w:rsidR="004D7C02">
        <w:rPr>
          <w:sz w:val="24"/>
          <w:szCs w:val="24"/>
          <w:lang w:val="en-US"/>
        </w:rPr>
        <w:t xml:space="preserve">(in parenthesis in equation (1)) </w:t>
      </w:r>
      <w:r w:rsidR="00390D4A">
        <w:rPr>
          <w:sz w:val="24"/>
          <w:szCs w:val="24"/>
          <w:lang w:val="en-US"/>
        </w:rPr>
        <w:t>is a ratio of ratio</w:t>
      </w:r>
      <w:r>
        <w:rPr>
          <w:sz w:val="24"/>
          <w:szCs w:val="24"/>
          <w:lang w:val="en-US"/>
        </w:rPr>
        <w:t>s</w:t>
      </w:r>
      <w:r w:rsidR="00442B5F">
        <w:rPr>
          <w:sz w:val="24"/>
          <w:szCs w:val="24"/>
          <w:lang w:val="en-US"/>
        </w:rPr>
        <w:t xml:space="preserve"> and as such many</w:t>
      </w:r>
      <w:r w:rsidR="00D83B7E">
        <w:rPr>
          <w:sz w:val="24"/>
          <w:szCs w:val="24"/>
          <w:lang w:val="en-US"/>
        </w:rPr>
        <w:t xml:space="preserve"> </w:t>
      </w:r>
      <w:r w:rsidR="00390D4A">
        <w:rPr>
          <w:sz w:val="24"/>
          <w:szCs w:val="24"/>
          <w:lang w:val="en-US"/>
        </w:rPr>
        <w:t xml:space="preserve">potential uncertainties </w:t>
      </w:r>
      <w:r w:rsidR="00D83B7E">
        <w:rPr>
          <w:sz w:val="24"/>
          <w:szCs w:val="24"/>
          <w:lang w:val="en-US"/>
        </w:rPr>
        <w:t>cancel to first order</w:t>
      </w:r>
      <w:r w:rsidR="00390D4A">
        <w:rPr>
          <w:sz w:val="24"/>
          <w:szCs w:val="24"/>
          <w:lang w:val="en-US"/>
        </w:rPr>
        <w:t>.</w:t>
      </w:r>
      <w:r w:rsidR="004D7C02">
        <w:rPr>
          <w:sz w:val="24"/>
          <w:szCs w:val="24"/>
          <w:lang w:val="en-US"/>
        </w:rPr>
        <w:t xml:space="preserve"> It can be written analytically as</w:t>
      </w:r>
    </w:p>
    <w:p w:rsidR="005C1824" w:rsidRDefault="00E57104" w:rsidP="005C1824">
      <w:pPr>
        <w:spacing w:after="0"/>
        <w:rPr>
          <w:sz w:val="24"/>
          <w:szCs w:val="24"/>
          <w:lang w:val="en-US"/>
        </w:rPr>
      </w:pPr>
      <m:oMath>
        <m:sSub>
          <m:sSubPr>
            <m:ctrlPr>
              <w:rPr>
                <w:rFonts w:ascii="Cambria Math" w:hAnsi="Cambria Math"/>
                <w:i/>
              </w:rPr>
            </m:ctrlPr>
          </m:sSubPr>
          <m:e>
            <m:r>
              <w:rPr>
                <w:rFonts w:ascii="Cambria Math" w:hAnsi="Cambria Math"/>
              </w:rPr>
              <m:t>C</m:t>
            </m:r>
          </m:e>
          <m:sub>
            <m:r>
              <m:rPr>
                <m:sty m:val="p"/>
              </m:rPr>
              <w:rPr>
                <w:rFonts w:ascii="Cambria Math" w:hAnsi="Cambria Math"/>
                <w:lang w:val="en-US"/>
              </w:rPr>
              <m:t>MC</m:t>
            </m:r>
          </m:sub>
        </m:sSub>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d>
                  <m:dPr>
                    <m:begChr m:val="["/>
                    <m:endChr m:val="]"/>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S</m:t>
                        </m:r>
                      </m:e>
                      <m:sub>
                        <m:r>
                          <m:rPr>
                            <m:sty m:val="p"/>
                          </m:rPr>
                          <w:rPr>
                            <w:rFonts w:ascii="Cambria Math" w:hAnsi="Cambria Math"/>
                            <w:lang w:val="en-US"/>
                          </w:rPr>
                          <m:t>wall,air</m:t>
                        </m:r>
                      </m:sub>
                    </m:sSub>
                    <m:sSub>
                      <m:sSubPr>
                        <m:ctrlPr>
                          <w:rPr>
                            <w:rFonts w:ascii="Cambria Math" w:hAnsi="Cambria Math"/>
                            <w:i/>
                            <w:lang w:val="en-US"/>
                          </w:rPr>
                        </m:ctrlPr>
                      </m:sSubPr>
                      <m:e>
                        <m:r>
                          <w:rPr>
                            <w:rFonts w:ascii="Cambria Math" w:hAnsi="Cambria Math"/>
                            <w:lang w:val="en-US"/>
                          </w:rPr>
                          <m:t xml:space="preserve"> p</m:t>
                        </m:r>
                      </m:e>
                      <m:sub>
                        <m:r>
                          <m:rPr>
                            <m:sty m:val="p"/>
                          </m:rPr>
                          <w:rPr>
                            <w:rFonts w:ascii="Cambria Math" w:hAnsi="Cambria Math"/>
                            <w:lang w:val="en-US"/>
                          </w:rPr>
                          <m:t>cav</m:t>
                        </m:r>
                      </m:sub>
                    </m:sSub>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β</m:t>
                        </m:r>
                      </m:e>
                      <m:sub>
                        <m:r>
                          <m:rPr>
                            <m:sty m:val="p"/>
                          </m:rPr>
                          <w:rPr>
                            <w:rFonts w:ascii="Cambria Math" w:hAnsi="Cambria Math"/>
                            <w:lang w:val="en-US"/>
                          </w:rPr>
                          <m:t>wall</m:t>
                        </m:r>
                      </m:sub>
                      <m:sup>
                        <m:r>
                          <w:rPr>
                            <w:rFonts w:ascii="Cambria Math" w:hAnsi="Cambria Math"/>
                            <w:lang w:val="en-US"/>
                          </w:rPr>
                          <m:t>-1</m:t>
                        </m:r>
                      </m:sup>
                    </m:sSubSup>
                    <m:r>
                      <w:rPr>
                        <w:rFonts w:ascii="Cambria Math" w:hAnsi="Cambria Math"/>
                        <w:lang w:val="en-US"/>
                      </w:rPr>
                      <m:t xml:space="preserve">  </m:t>
                    </m:r>
                    <m:sSub>
                      <m:sSubPr>
                        <m:ctrlPr>
                          <w:rPr>
                            <w:rFonts w:ascii="Cambria Math" w:hAnsi="Cambria Math"/>
                            <w:i/>
                            <w:lang w:val="en-US"/>
                          </w:rPr>
                        </m:ctrlPr>
                      </m:sSubPr>
                      <m:e>
                        <m:d>
                          <m:dPr>
                            <m:ctrlPr>
                              <w:rPr>
                                <w:rFonts w:ascii="Cambria Math" w:hAnsi="Cambria Math"/>
                                <w:i/>
                                <w:lang w:val="en-US"/>
                              </w:rPr>
                            </m:ctrlPr>
                          </m:dPr>
                          <m:e>
                            <m:f>
                              <m:fPr>
                                <m:type m:val="lin"/>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μ</m:t>
                                    </m:r>
                                  </m:e>
                                  <m:sub>
                                    <m:r>
                                      <m:rPr>
                                        <m:sty m:val="p"/>
                                      </m:rPr>
                                      <w:rPr>
                                        <w:rFonts w:ascii="Cambria Math" w:hAnsi="Cambria Math"/>
                                        <w:lang w:val="en-US"/>
                                      </w:rPr>
                                      <m:t>en</m:t>
                                    </m:r>
                                  </m:sub>
                                </m:sSub>
                              </m:num>
                              <m:den>
                                <m:r>
                                  <w:rPr>
                                    <w:rFonts w:ascii="Cambria Math" w:hAnsi="Cambria Math"/>
                                    <w:lang w:val="en-US"/>
                                  </w:rPr>
                                  <m:t>ρ</m:t>
                                </m:r>
                              </m:den>
                            </m:f>
                          </m:e>
                        </m:d>
                      </m:e>
                      <m:sub>
                        <m:r>
                          <m:rPr>
                            <m:sty m:val="p"/>
                          </m:rPr>
                          <w:rPr>
                            <w:rFonts w:ascii="Cambria Math" w:hAnsi="Cambria Math"/>
                            <w:lang w:val="en-US"/>
                          </w:rPr>
                          <m:t>w,wall</m:t>
                        </m:r>
                      </m:sub>
                    </m:sSub>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ψ</m:t>
                        </m:r>
                      </m:e>
                      <m:sub>
                        <m:r>
                          <m:rPr>
                            <m:sty m:val="p"/>
                          </m:rPr>
                          <w:rPr>
                            <w:rFonts w:ascii="Cambria Math" w:hAnsi="Cambria Math"/>
                            <w:lang w:val="en-US"/>
                          </w:rPr>
                          <m:t>w,wall</m:t>
                        </m:r>
                      </m:sub>
                    </m:sSub>
                    <m:sSub>
                      <m:sSubPr>
                        <m:ctrlPr>
                          <w:rPr>
                            <w:rFonts w:ascii="Cambria Math" w:hAnsi="Cambria Math"/>
                            <w:i/>
                            <w:lang w:val="en-US"/>
                          </w:rPr>
                        </m:ctrlPr>
                      </m:sSubPr>
                      <m:e>
                        <m:r>
                          <w:rPr>
                            <w:rFonts w:ascii="Cambria Math" w:hAnsi="Cambria Math"/>
                            <w:lang w:val="en-US"/>
                          </w:rPr>
                          <m:t xml:space="preserve">   β</m:t>
                        </m:r>
                      </m:e>
                      <m:sub>
                        <m:r>
                          <m:rPr>
                            <m:sty m:val="p"/>
                          </m:rPr>
                          <w:rPr>
                            <w:rFonts w:ascii="Cambria Math" w:hAnsi="Cambria Math"/>
                            <w:lang w:val="en-US"/>
                          </w:rPr>
                          <m:t>w</m:t>
                        </m:r>
                      </m:sub>
                    </m:sSub>
                  </m:e>
                </m:d>
              </m:e>
              <m:sub>
                <m:r>
                  <m:rPr>
                    <m:sty m:val="p"/>
                  </m:rPr>
                  <w:rPr>
                    <w:rFonts w:ascii="Cambria Math" w:hAnsi="Cambria Math"/>
                    <w:lang w:val="en-US"/>
                  </w:rPr>
                  <m:t>w</m:t>
                </m:r>
              </m:sub>
            </m:sSub>
            <m:r>
              <w:rPr>
                <w:rFonts w:ascii="Cambria Math" w:hAnsi="Cambria Math"/>
                <w:lang w:val="en-US"/>
              </w:rPr>
              <m:t xml:space="preserve">                  </m:t>
            </m:r>
          </m:num>
          <m:den>
            <m:sSub>
              <m:sSubPr>
                <m:ctrlPr>
                  <w:rPr>
                    <w:rFonts w:ascii="Cambria Math" w:hAnsi="Cambria Math"/>
                    <w:i/>
                    <w:lang w:val="en-US"/>
                  </w:rPr>
                </m:ctrlPr>
              </m:sSubPr>
              <m:e>
                <m:d>
                  <m:dPr>
                    <m:begChr m:val="["/>
                    <m:endChr m:val="]"/>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S</m:t>
                        </m:r>
                      </m:e>
                      <m:sub>
                        <m:r>
                          <m:rPr>
                            <m:sty m:val="p"/>
                          </m:rPr>
                          <w:rPr>
                            <w:rFonts w:ascii="Cambria Math" w:hAnsi="Cambria Math"/>
                            <w:lang w:val="en-US"/>
                          </w:rPr>
                          <m:t>wall,air</m:t>
                        </m:r>
                      </m:sub>
                    </m:sSub>
                    <m:sSub>
                      <m:sSubPr>
                        <m:ctrlPr>
                          <w:rPr>
                            <w:rFonts w:ascii="Cambria Math" w:hAnsi="Cambria Math"/>
                            <w:i/>
                            <w:lang w:val="en-US"/>
                          </w:rPr>
                        </m:ctrlPr>
                      </m:sSubPr>
                      <m:e>
                        <m:r>
                          <w:rPr>
                            <w:rFonts w:ascii="Cambria Math" w:hAnsi="Cambria Math"/>
                            <w:lang w:val="en-US"/>
                          </w:rPr>
                          <m:t xml:space="preserve"> p</m:t>
                        </m:r>
                      </m:e>
                      <m:sub>
                        <m:r>
                          <m:rPr>
                            <m:sty m:val="p"/>
                          </m:rPr>
                          <w:rPr>
                            <w:rFonts w:ascii="Cambria Math" w:hAnsi="Cambria Math"/>
                            <w:lang w:val="en-US"/>
                          </w:rPr>
                          <m:t>cav</m:t>
                        </m:r>
                      </m:sub>
                    </m:sSub>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β</m:t>
                        </m:r>
                      </m:e>
                      <m:sub>
                        <m:r>
                          <m:rPr>
                            <m:sty m:val="p"/>
                          </m:rPr>
                          <w:rPr>
                            <w:rFonts w:ascii="Cambria Math" w:hAnsi="Cambria Math"/>
                            <w:lang w:val="en-US"/>
                          </w:rPr>
                          <m:t>wall</m:t>
                        </m:r>
                      </m:sub>
                      <m:sup>
                        <m:r>
                          <w:rPr>
                            <w:rFonts w:ascii="Cambria Math" w:hAnsi="Cambria Math"/>
                            <w:lang w:val="en-US"/>
                          </w:rPr>
                          <m:t>-1</m:t>
                        </m:r>
                      </m:sup>
                    </m:sSubSup>
                    <m:r>
                      <w:rPr>
                        <w:rFonts w:ascii="Cambria Math" w:hAnsi="Cambria Math"/>
                        <w:lang w:val="en-US"/>
                      </w:rPr>
                      <m:t xml:space="preserve"> </m:t>
                    </m:r>
                    <m:sSub>
                      <m:sSubPr>
                        <m:ctrlPr>
                          <w:rPr>
                            <w:rFonts w:ascii="Cambria Math" w:hAnsi="Cambria Math"/>
                            <w:i/>
                            <w:lang w:val="en-US"/>
                          </w:rPr>
                        </m:ctrlPr>
                      </m:sSubPr>
                      <m:e>
                        <m:d>
                          <m:dPr>
                            <m:ctrlPr>
                              <w:rPr>
                                <w:rFonts w:ascii="Cambria Math" w:hAnsi="Cambria Math"/>
                                <w:i/>
                                <w:lang w:val="en-US"/>
                              </w:rPr>
                            </m:ctrlPr>
                          </m:dPr>
                          <m:e>
                            <m:f>
                              <m:fPr>
                                <m:type m:val="lin"/>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μ</m:t>
                                    </m:r>
                                  </m:e>
                                  <m:sub>
                                    <m:r>
                                      <m:rPr>
                                        <m:sty m:val="p"/>
                                      </m:rPr>
                                      <w:rPr>
                                        <w:rFonts w:ascii="Cambria Math" w:hAnsi="Cambria Math"/>
                                        <w:lang w:val="en-US"/>
                                      </w:rPr>
                                      <m:t>en</m:t>
                                    </m:r>
                                  </m:sub>
                                </m:sSub>
                              </m:num>
                              <m:den>
                                <m:r>
                                  <w:rPr>
                                    <w:rFonts w:ascii="Cambria Math" w:hAnsi="Cambria Math"/>
                                    <w:lang w:val="en-US"/>
                                  </w:rPr>
                                  <m:t>ρ</m:t>
                                </m:r>
                              </m:den>
                            </m:f>
                          </m:e>
                        </m:d>
                      </m:e>
                      <m:sub>
                        <m:r>
                          <m:rPr>
                            <m:sty m:val="p"/>
                          </m:rPr>
                          <w:rPr>
                            <w:rFonts w:ascii="Cambria Math" w:hAnsi="Cambria Math"/>
                            <w:lang w:val="en-US"/>
                          </w:rPr>
                          <m:t>air,wall</m:t>
                        </m:r>
                      </m:sub>
                    </m:sSub>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ψ</m:t>
                        </m:r>
                      </m:e>
                      <m:sub>
                        <m:r>
                          <m:rPr>
                            <m:sty m:val="p"/>
                          </m:rPr>
                          <w:rPr>
                            <w:rFonts w:ascii="Cambria Math" w:hAnsi="Cambria Math"/>
                            <w:lang w:val="en-US"/>
                          </w:rPr>
                          <m:t>air,wall</m:t>
                        </m:r>
                      </m:sub>
                    </m:sSub>
                    <m:sSup>
                      <m:sSupPr>
                        <m:ctrlPr>
                          <w:rPr>
                            <w:rFonts w:ascii="Cambria Math" w:hAnsi="Cambria Math"/>
                            <w:i/>
                            <w:lang w:val="en-US"/>
                          </w:rPr>
                        </m:ctrlPr>
                      </m:sSupPr>
                      <m:e>
                        <m:d>
                          <m:dPr>
                            <m:ctrlPr>
                              <w:rPr>
                                <w:rFonts w:ascii="Cambria Math" w:hAnsi="Cambria Math"/>
                                <w:i/>
                                <w:lang w:val="en-US"/>
                              </w:rPr>
                            </m:ctrlPr>
                          </m:dPr>
                          <m:e>
                            <m:r>
                              <w:rPr>
                                <w:rFonts w:ascii="Cambria Math" w:hAnsi="Cambria Math"/>
                                <w:lang w:val="en-US"/>
                              </w:rPr>
                              <m:t>1-</m:t>
                            </m:r>
                            <m:sSub>
                              <m:sSubPr>
                                <m:ctrlPr>
                                  <w:rPr>
                                    <w:rFonts w:ascii="Cambria Math" w:hAnsi="Cambria Math"/>
                                    <w:i/>
                                    <w:lang w:val="en-US"/>
                                  </w:rPr>
                                </m:ctrlPr>
                              </m:sSubPr>
                              <m:e>
                                <m:r>
                                  <w:rPr>
                                    <w:rFonts w:ascii="Cambria Math" w:hAnsi="Cambria Math"/>
                                    <w:lang w:val="en-US"/>
                                  </w:rPr>
                                  <m:t>g</m:t>
                                </m:r>
                              </m:e>
                              <m:sub>
                                <m:r>
                                  <m:rPr>
                                    <m:sty m:val="p"/>
                                  </m:rPr>
                                  <w:rPr>
                                    <w:rFonts w:ascii="Cambria Math" w:hAnsi="Cambria Math"/>
                                    <w:lang w:val="en-US"/>
                                  </w:rPr>
                                  <m:t>air</m:t>
                                </m:r>
                              </m:sub>
                            </m:sSub>
                          </m:e>
                        </m:d>
                      </m:e>
                      <m:sup>
                        <m:r>
                          <w:rPr>
                            <w:rFonts w:ascii="Cambria Math" w:hAnsi="Cambria Math"/>
                            <w:lang w:val="en-US"/>
                          </w:rPr>
                          <m:t>-1</m:t>
                        </m:r>
                      </m:sup>
                    </m:sSup>
                  </m:e>
                </m:d>
              </m:e>
              <m:sub>
                <m:r>
                  <m:rPr>
                    <m:sty m:val="p"/>
                  </m:rPr>
                  <w:rPr>
                    <w:rFonts w:ascii="Cambria Math" w:hAnsi="Cambria Math"/>
                    <w:lang w:val="en-US"/>
                  </w:rPr>
                  <m:t>air</m:t>
                </m:r>
              </m:sub>
            </m:sSub>
          </m:den>
        </m:f>
      </m:oMath>
      <w:r w:rsidR="00AF116F">
        <w:rPr>
          <w:rFonts w:eastAsiaTheme="minorEastAsia"/>
          <w:lang w:val="en-US"/>
        </w:rPr>
        <w:t xml:space="preserve"> .</w:t>
      </w:r>
      <w:r w:rsidR="005C1824">
        <w:rPr>
          <w:rFonts w:eastAsiaTheme="minorEastAsia"/>
          <w:lang w:val="en-US"/>
        </w:rPr>
        <w:tab/>
      </w:r>
      <w:r w:rsidR="005C1824">
        <w:rPr>
          <w:rFonts w:eastAsiaTheme="minorEastAsia"/>
          <w:lang w:val="en-US"/>
        </w:rPr>
        <w:tab/>
      </w:r>
      <w:r w:rsidR="004D7C02">
        <w:rPr>
          <w:rFonts w:eastAsiaTheme="minorEastAsia"/>
          <w:lang w:val="en-US"/>
        </w:rPr>
        <w:tab/>
      </w:r>
      <w:r w:rsidR="004D7C02">
        <w:rPr>
          <w:rFonts w:eastAsiaTheme="minorEastAsia"/>
          <w:lang w:val="en-US"/>
        </w:rPr>
        <w:tab/>
      </w:r>
      <w:r w:rsidR="004D7C02">
        <w:rPr>
          <w:rFonts w:eastAsiaTheme="minorEastAsia"/>
          <w:lang w:val="en-US"/>
        </w:rPr>
        <w:tab/>
        <w:t>(2)</w:t>
      </w:r>
      <m:oMath>
        <m:r>
          <m:rPr>
            <m:sty m:val="p"/>
          </m:rPr>
          <w:rPr>
            <w:rFonts w:ascii="Cambria Math" w:hAnsi="Cambria Math"/>
            <w:lang w:val="en-US"/>
          </w:rPr>
          <w:br/>
        </m:r>
      </m:oMath>
    </w:p>
    <w:p w:rsidR="004D7C02" w:rsidRDefault="005C1824" w:rsidP="007D7735">
      <w:pPr>
        <w:spacing w:after="0"/>
        <w:rPr>
          <w:sz w:val="24"/>
          <w:szCs w:val="24"/>
          <w:lang w:val="en-US"/>
        </w:rPr>
      </w:pPr>
      <w:r>
        <w:rPr>
          <w:sz w:val="24"/>
          <w:szCs w:val="24"/>
          <w:lang w:val="en-US"/>
        </w:rPr>
        <w:t>Here, the numerator represents calculations for the transfer chamber in water, and the denominator for those in air.</w:t>
      </w:r>
      <w:r w:rsidR="002A6C61">
        <w:rPr>
          <w:sz w:val="24"/>
          <w:szCs w:val="24"/>
          <w:lang w:val="en-US"/>
        </w:rPr>
        <w:t xml:space="preserve"> The </w:t>
      </w:r>
      <w:proofErr w:type="spellStart"/>
      <w:r w:rsidR="002A6C61" w:rsidRPr="002A6C61">
        <w:rPr>
          <w:i/>
          <w:sz w:val="24"/>
          <w:szCs w:val="24"/>
          <w:lang w:val="en-US"/>
        </w:rPr>
        <w:t>s</w:t>
      </w:r>
      <w:r w:rsidR="002A6C61" w:rsidRPr="002A6C61">
        <w:rPr>
          <w:sz w:val="24"/>
          <w:szCs w:val="24"/>
          <w:vertAlign w:val="subscript"/>
          <w:lang w:val="en-US"/>
        </w:rPr>
        <w:t>wall</w:t>
      </w:r>
      <w:proofErr w:type="gramStart"/>
      <w:r w:rsidR="002A6C61" w:rsidRPr="002A6C61">
        <w:rPr>
          <w:sz w:val="24"/>
          <w:szCs w:val="24"/>
          <w:vertAlign w:val="subscript"/>
          <w:lang w:val="en-US"/>
        </w:rPr>
        <w:t>,air</w:t>
      </w:r>
      <w:proofErr w:type="spellEnd"/>
      <w:proofErr w:type="gramEnd"/>
      <w:r w:rsidR="002A6C61">
        <w:rPr>
          <w:sz w:val="24"/>
          <w:szCs w:val="24"/>
          <w:lang w:val="en-US"/>
        </w:rPr>
        <w:t xml:space="preserve"> are stopping-power ratios for the chamber wall material and the cavity air, and the </w:t>
      </w:r>
      <w:proofErr w:type="spellStart"/>
      <w:r w:rsidR="002A6C61" w:rsidRPr="002A6C61">
        <w:rPr>
          <w:i/>
          <w:sz w:val="24"/>
          <w:szCs w:val="24"/>
          <w:lang w:val="en-US"/>
        </w:rPr>
        <w:t>p</w:t>
      </w:r>
      <w:r w:rsidR="002A6C61" w:rsidRPr="002A6C61">
        <w:rPr>
          <w:sz w:val="24"/>
          <w:szCs w:val="24"/>
          <w:vertAlign w:val="subscript"/>
          <w:lang w:val="en-US"/>
        </w:rPr>
        <w:t>cav</w:t>
      </w:r>
      <w:proofErr w:type="spellEnd"/>
      <w:r w:rsidR="002A6C61">
        <w:rPr>
          <w:sz w:val="24"/>
          <w:szCs w:val="24"/>
          <w:lang w:val="en-US"/>
        </w:rPr>
        <w:t xml:space="preserve"> are perturbation factors for deviations from ideal Bragg-Gray behavior. These will clearly cancel to a large extent for the water-to-air ratio, with no uncertainty arising from the choice of stopping-power data used. The </w:t>
      </w:r>
      <w:r w:rsidR="002A6C61" w:rsidRPr="002A6C61">
        <w:rPr>
          <w:rFonts w:ascii="Symbol" w:hAnsi="Symbol"/>
          <w:i/>
          <w:sz w:val="24"/>
          <w:szCs w:val="24"/>
          <w:lang w:val="en-US"/>
        </w:rPr>
        <w:t></w:t>
      </w:r>
      <w:r w:rsidR="002A6C61">
        <w:rPr>
          <w:sz w:val="24"/>
          <w:szCs w:val="24"/>
          <w:lang w:val="en-US"/>
        </w:rPr>
        <w:t xml:space="preserve"> terms are each a ratio of absorbed dose to collision kerma; it was shown </w:t>
      </w:r>
      <w:r w:rsidR="005E3C82">
        <w:rPr>
          <w:sz w:val="24"/>
          <w:szCs w:val="24"/>
          <w:lang w:val="en-US"/>
        </w:rPr>
        <w:t>in Section 4</w:t>
      </w:r>
      <w:r w:rsidR="002A6C61">
        <w:rPr>
          <w:sz w:val="24"/>
          <w:szCs w:val="24"/>
          <w:lang w:val="en-US"/>
        </w:rPr>
        <w:t xml:space="preserve"> </w:t>
      </w:r>
      <w:r w:rsidR="005E3C82">
        <w:rPr>
          <w:sz w:val="24"/>
          <w:szCs w:val="24"/>
          <w:lang w:val="en-US"/>
        </w:rPr>
        <w:t xml:space="preserve">that </w:t>
      </w:r>
      <w:r w:rsidR="002A6C61">
        <w:rPr>
          <w:sz w:val="24"/>
          <w:szCs w:val="24"/>
          <w:lang w:val="en-US"/>
        </w:rPr>
        <w:t>for the medium-energy x-</w:t>
      </w:r>
      <w:r w:rsidR="005E3C82">
        <w:rPr>
          <w:sz w:val="24"/>
          <w:szCs w:val="24"/>
          <w:lang w:val="en-US"/>
        </w:rPr>
        <w:t xml:space="preserve">ray spectra CPE is </w:t>
      </w:r>
      <w:r w:rsidR="002A6C61">
        <w:rPr>
          <w:sz w:val="24"/>
          <w:szCs w:val="24"/>
          <w:lang w:val="en-US"/>
        </w:rPr>
        <w:t xml:space="preserve">well approximated and so the </w:t>
      </w:r>
      <w:r w:rsidR="005B69E0" w:rsidRPr="002A6C61">
        <w:rPr>
          <w:rFonts w:ascii="Symbol" w:hAnsi="Symbol"/>
          <w:i/>
          <w:sz w:val="24"/>
          <w:szCs w:val="24"/>
          <w:lang w:val="en-US"/>
        </w:rPr>
        <w:t></w:t>
      </w:r>
      <w:r w:rsidR="002A6C61">
        <w:rPr>
          <w:sz w:val="24"/>
          <w:szCs w:val="24"/>
          <w:lang w:val="en-US"/>
        </w:rPr>
        <w:t xml:space="preserve"> terms are all very close to unity with negligible uncertainty</w:t>
      </w:r>
      <w:r w:rsidR="005E3C82">
        <w:rPr>
          <w:sz w:val="24"/>
          <w:szCs w:val="24"/>
          <w:lang w:val="en-US"/>
        </w:rPr>
        <w:t>, as is the radiative loss (1</w:t>
      </w:r>
      <w:r w:rsidR="005E3C82" w:rsidRPr="005E3C82">
        <w:rPr>
          <w:rFonts w:ascii="Symbol" w:hAnsi="Symbol"/>
          <w:sz w:val="24"/>
          <w:szCs w:val="24"/>
          <w:lang w:val="en-US"/>
        </w:rPr>
        <w:t></w:t>
      </w:r>
      <w:r w:rsidR="005E3C82">
        <w:rPr>
          <w:sz w:val="24"/>
          <w:szCs w:val="24"/>
          <w:lang w:val="en-US"/>
        </w:rPr>
        <w:t>g</w:t>
      </w:r>
      <w:r w:rsidR="005E3C82" w:rsidRPr="005E3C82">
        <w:rPr>
          <w:sz w:val="24"/>
          <w:szCs w:val="24"/>
          <w:vertAlign w:val="subscript"/>
          <w:lang w:val="en-US"/>
        </w:rPr>
        <w:t>air</w:t>
      </w:r>
      <w:r w:rsidR="005E3C82">
        <w:rPr>
          <w:sz w:val="24"/>
          <w:szCs w:val="24"/>
          <w:lang w:val="en-US"/>
        </w:rPr>
        <w:t>)</w:t>
      </w:r>
      <w:r w:rsidR="002A6C61">
        <w:rPr>
          <w:sz w:val="24"/>
          <w:szCs w:val="24"/>
          <w:lang w:val="en-US"/>
        </w:rPr>
        <w:t xml:space="preserve">. </w:t>
      </w:r>
      <w:r w:rsidR="005B69E0">
        <w:rPr>
          <w:sz w:val="24"/>
          <w:szCs w:val="24"/>
          <w:lang w:val="en-US"/>
        </w:rPr>
        <w:t xml:space="preserve">The photon fluence perturbation </w:t>
      </w:r>
      <w:r w:rsidR="005B69E0" w:rsidRPr="005B69E0">
        <w:rPr>
          <w:i/>
          <w:sz w:val="24"/>
          <w:szCs w:val="24"/>
          <w:lang w:val="en-US"/>
        </w:rPr>
        <w:t>ψ</w:t>
      </w:r>
      <w:r w:rsidR="005B69E0">
        <w:rPr>
          <w:sz w:val="24"/>
          <w:szCs w:val="24"/>
          <w:lang w:val="en-US"/>
        </w:rPr>
        <w:t xml:space="preserve"> due to the presence of the chamber will also be subject to significant cancellation and its uncertainty is assumed to be negligible.</w:t>
      </w:r>
      <w:r w:rsidR="007D7735">
        <w:rPr>
          <w:sz w:val="24"/>
          <w:szCs w:val="24"/>
          <w:lang w:val="en-US"/>
        </w:rPr>
        <w:t xml:space="preserve"> What remains are the </w:t>
      </w:r>
      <w:r w:rsidR="00AF116F">
        <w:rPr>
          <w:sz w:val="24"/>
          <w:szCs w:val="24"/>
          <w:lang w:val="en-US"/>
        </w:rPr>
        <w:t xml:space="preserve">two ratios </w:t>
      </w:r>
      <w:r w:rsidR="00AF116F">
        <w:rPr>
          <w:sz w:val="24"/>
          <w:szCs w:val="24"/>
          <w:lang w:val="en-US"/>
        </w:rPr>
        <w:lastRenderedPageBreak/>
        <w:t xml:space="preserve">of mass energy-absorption coefficients </w:t>
      </w:r>
      <w:r w:rsidR="007D7735">
        <w:rPr>
          <w:sz w:val="24"/>
          <w:szCs w:val="24"/>
          <w:lang w:val="en-US"/>
        </w:rPr>
        <w:t>(</w:t>
      </w:r>
      <w:r w:rsidR="007D7735" w:rsidRPr="00415AFE">
        <w:rPr>
          <w:i/>
          <w:sz w:val="24"/>
          <w:szCs w:val="24"/>
          <w:lang w:val="en-US"/>
        </w:rPr>
        <w:t>µ</w:t>
      </w:r>
      <w:proofErr w:type="spellStart"/>
      <w:r w:rsidR="007D7735" w:rsidRPr="00415AFE">
        <w:rPr>
          <w:sz w:val="24"/>
          <w:szCs w:val="24"/>
          <w:vertAlign w:val="subscript"/>
          <w:lang w:val="en-US"/>
        </w:rPr>
        <w:t>en</w:t>
      </w:r>
      <w:proofErr w:type="spellEnd"/>
      <w:r w:rsidR="007D7735">
        <w:rPr>
          <w:sz w:val="24"/>
          <w:szCs w:val="24"/>
          <w:lang w:val="en-US"/>
        </w:rPr>
        <w:t>/</w:t>
      </w:r>
      <w:r w:rsidR="007D7735" w:rsidRPr="00415AFE">
        <w:rPr>
          <w:rFonts w:ascii="Symbol" w:hAnsi="Symbol"/>
          <w:i/>
          <w:sz w:val="24"/>
          <w:szCs w:val="24"/>
          <w:lang w:val="en-US"/>
        </w:rPr>
        <w:t></w:t>
      </w:r>
      <w:r w:rsidR="007D7735">
        <w:rPr>
          <w:sz w:val="24"/>
          <w:szCs w:val="24"/>
          <w:lang w:val="en-US"/>
        </w:rPr>
        <w:t>), and as (</w:t>
      </w:r>
      <w:r w:rsidR="007D7735" w:rsidRPr="00415AFE">
        <w:rPr>
          <w:i/>
          <w:sz w:val="24"/>
          <w:szCs w:val="24"/>
          <w:lang w:val="en-US"/>
        </w:rPr>
        <w:t>µ</w:t>
      </w:r>
      <w:proofErr w:type="spellStart"/>
      <w:r w:rsidR="007D7735" w:rsidRPr="00415AFE">
        <w:rPr>
          <w:sz w:val="24"/>
          <w:szCs w:val="24"/>
          <w:vertAlign w:val="subscript"/>
          <w:lang w:val="en-US"/>
        </w:rPr>
        <w:t>en</w:t>
      </w:r>
      <w:proofErr w:type="spellEnd"/>
      <w:r w:rsidR="007D7735">
        <w:rPr>
          <w:sz w:val="24"/>
          <w:szCs w:val="24"/>
          <w:lang w:val="en-US"/>
        </w:rPr>
        <w:t>/</w:t>
      </w:r>
      <w:r w:rsidR="007D7735" w:rsidRPr="00415AFE">
        <w:rPr>
          <w:rFonts w:ascii="Symbol" w:hAnsi="Symbol"/>
          <w:i/>
          <w:sz w:val="24"/>
          <w:szCs w:val="24"/>
          <w:lang w:val="en-US"/>
        </w:rPr>
        <w:t></w:t>
      </w:r>
      <w:proofErr w:type="gramStart"/>
      <w:r w:rsidR="007D7735">
        <w:rPr>
          <w:sz w:val="24"/>
          <w:szCs w:val="24"/>
          <w:lang w:val="en-US"/>
        </w:rPr>
        <w:t>)</w:t>
      </w:r>
      <w:r w:rsidR="007D7735" w:rsidRPr="007D7735">
        <w:rPr>
          <w:sz w:val="24"/>
          <w:szCs w:val="24"/>
          <w:vertAlign w:val="subscript"/>
          <w:lang w:val="en-US"/>
        </w:rPr>
        <w:t>wall</w:t>
      </w:r>
      <w:proofErr w:type="gramEnd"/>
      <w:r w:rsidR="007D7735">
        <w:rPr>
          <w:sz w:val="24"/>
          <w:szCs w:val="24"/>
          <w:lang w:val="en-US"/>
        </w:rPr>
        <w:t xml:space="preserve"> appears in both (and therefore largely cancels) we take </w:t>
      </w:r>
      <w:r w:rsidR="00AF116F">
        <w:rPr>
          <w:sz w:val="24"/>
          <w:szCs w:val="24"/>
          <w:lang w:val="en-US"/>
        </w:rPr>
        <w:t xml:space="preserve">their ratio to be </w:t>
      </w:r>
      <w:r w:rsidR="007D7735">
        <w:rPr>
          <w:sz w:val="24"/>
          <w:szCs w:val="24"/>
          <w:lang w:val="en-US"/>
        </w:rPr>
        <w:t>(</w:t>
      </w:r>
      <w:r w:rsidR="007D7735" w:rsidRPr="00415AFE">
        <w:rPr>
          <w:i/>
          <w:sz w:val="24"/>
          <w:szCs w:val="24"/>
          <w:lang w:val="en-US"/>
        </w:rPr>
        <w:t>µ</w:t>
      </w:r>
      <w:proofErr w:type="spellStart"/>
      <w:r w:rsidR="007D7735" w:rsidRPr="00415AFE">
        <w:rPr>
          <w:sz w:val="24"/>
          <w:szCs w:val="24"/>
          <w:vertAlign w:val="subscript"/>
          <w:lang w:val="en-US"/>
        </w:rPr>
        <w:t>en</w:t>
      </w:r>
      <w:proofErr w:type="spellEnd"/>
      <w:r w:rsidR="007D7735">
        <w:rPr>
          <w:sz w:val="24"/>
          <w:szCs w:val="24"/>
          <w:lang w:val="en-US"/>
        </w:rPr>
        <w:t>/</w:t>
      </w:r>
      <w:r w:rsidR="007D7735" w:rsidRPr="00415AFE">
        <w:rPr>
          <w:rFonts w:ascii="Symbol" w:hAnsi="Symbol"/>
          <w:i/>
          <w:sz w:val="24"/>
          <w:szCs w:val="24"/>
          <w:lang w:val="en-US"/>
        </w:rPr>
        <w:t></w:t>
      </w:r>
      <w:r w:rsidR="007D7735">
        <w:rPr>
          <w:sz w:val="24"/>
          <w:szCs w:val="24"/>
          <w:lang w:val="en-US"/>
        </w:rPr>
        <w:t>)</w:t>
      </w:r>
      <w:proofErr w:type="spellStart"/>
      <w:r w:rsidR="007D7735" w:rsidRPr="00415AFE">
        <w:rPr>
          <w:sz w:val="24"/>
          <w:szCs w:val="24"/>
          <w:vertAlign w:val="subscript"/>
          <w:lang w:val="en-US"/>
        </w:rPr>
        <w:t>w,air</w:t>
      </w:r>
      <w:proofErr w:type="spellEnd"/>
      <w:r w:rsidR="007D7735">
        <w:rPr>
          <w:sz w:val="24"/>
          <w:szCs w:val="24"/>
          <w:lang w:val="en-US"/>
        </w:rPr>
        <w:t>.</w:t>
      </w:r>
    </w:p>
    <w:p w:rsidR="00AF116F" w:rsidRDefault="00B71F4D" w:rsidP="00C73975">
      <w:pPr>
        <w:keepNext/>
        <w:keepLines/>
        <w:rPr>
          <w:sz w:val="24"/>
          <w:szCs w:val="24"/>
          <w:lang w:val="en-US"/>
        </w:rPr>
      </w:pPr>
      <w:r>
        <w:rPr>
          <w:sz w:val="24"/>
          <w:szCs w:val="24"/>
          <w:lang w:val="en-US"/>
        </w:rPr>
        <w:t>Four components considered to remain significant are di</w:t>
      </w:r>
      <w:r w:rsidR="00D83B7E">
        <w:rPr>
          <w:sz w:val="24"/>
          <w:szCs w:val="24"/>
          <w:lang w:val="en-US"/>
        </w:rPr>
        <w:t>scussed below, namely the ratio</w:t>
      </w:r>
      <w:r w:rsidR="008C4817">
        <w:rPr>
          <w:sz w:val="24"/>
          <w:szCs w:val="24"/>
          <w:lang w:val="en-US"/>
        </w:rPr>
        <w:t xml:space="preserve"> (</w:t>
      </w:r>
      <w:r w:rsidR="008C4817" w:rsidRPr="00415AFE">
        <w:rPr>
          <w:i/>
          <w:sz w:val="24"/>
          <w:szCs w:val="24"/>
          <w:lang w:val="en-US"/>
        </w:rPr>
        <w:t>µ</w:t>
      </w:r>
      <w:proofErr w:type="spellStart"/>
      <w:r w:rsidR="008C4817" w:rsidRPr="00415AFE">
        <w:rPr>
          <w:sz w:val="24"/>
          <w:szCs w:val="24"/>
          <w:vertAlign w:val="subscript"/>
          <w:lang w:val="en-US"/>
        </w:rPr>
        <w:t>en</w:t>
      </w:r>
      <w:proofErr w:type="spellEnd"/>
      <w:r w:rsidR="008C4817">
        <w:rPr>
          <w:sz w:val="24"/>
          <w:szCs w:val="24"/>
          <w:lang w:val="en-US"/>
        </w:rPr>
        <w:t>/</w:t>
      </w:r>
      <w:r w:rsidR="008C4817" w:rsidRPr="00415AFE">
        <w:rPr>
          <w:rFonts w:ascii="Symbol" w:hAnsi="Symbol"/>
          <w:i/>
          <w:sz w:val="24"/>
          <w:szCs w:val="24"/>
          <w:lang w:val="en-US"/>
        </w:rPr>
        <w:t></w:t>
      </w:r>
      <w:proofErr w:type="gramStart"/>
      <w:r w:rsidR="008C4817">
        <w:rPr>
          <w:sz w:val="24"/>
          <w:szCs w:val="24"/>
          <w:lang w:val="en-US"/>
        </w:rPr>
        <w:t>)</w:t>
      </w:r>
      <w:proofErr w:type="spellStart"/>
      <w:r w:rsidR="008C4817" w:rsidRPr="00415AFE">
        <w:rPr>
          <w:sz w:val="24"/>
          <w:szCs w:val="24"/>
          <w:vertAlign w:val="subscript"/>
          <w:lang w:val="en-US"/>
        </w:rPr>
        <w:t>w,air</w:t>
      </w:r>
      <w:proofErr w:type="spellEnd"/>
      <w:proofErr w:type="gramEnd"/>
      <w:r>
        <w:rPr>
          <w:sz w:val="24"/>
          <w:szCs w:val="24"/>
          <w:lang w:val="en-US"/>
        </w:rPr>
        <w:t xml:space="preserve"> </w:t>
      </w:r>
      <w:r w:rsidR="00AF116F">
        <w:rPr>
          <w:sz w:val="24"/>
          <w:szCs w:val="24"/>
          <w:lang w:val="en-US"/>
        </w:rPr>
        <w:t>as discussed above</w:t>
      </w:r>
      <w:r w:rsidR="008C4817">
        <w:rPr>
          <w:sz w:val="24"/>
          <w:szCs w:val="24"/>
          <w:lang w:val="en-US"/>
        </w:rPr>
        <w:t xml:space="preserve">, </w:t>
      </w:r>
      <w:r>
        <w:rPr>
          <w:sz w:val="24"/>
          <w:szCs w:val="24"/>
          <w:lang w:val="en-US"/>
        </w:rPr>
        <w:t xml:space="preserve">the impact </w:t>
      </w:r>
      <w:r w:rsidR="00AF116F">
        <w:rPr>
          <w:sz w:val="24"/>
          <w:szCs w:val="24"/>
          <w:lang w:val="en-US"/>
        </w:rPr>
        <w:t xml:space="preserve">on </w:t>
      </w:r>
      <w:proofErr w:type="spellStart"/>
      <w:r w:rsidR="00AF116F" w:rsidRPr="00A3314F">
        <w:rPr>
          <w:i/>
          <w:sz w:val="24"/>
          <w:szCs w:val="24"/>
          <w:lang w:val="en-US"/>
        </w:rPr>
        <w:t>D</w:t>
      </w:r>
      <w:r w:rsidR="00AF116F" w:rsidRPr="00A3314F">
        <w:rPr>
          <w:sz w:val="24"/>
          <w:szCs w:val="24"/>
          <w:vertAlign w:val="subscript"/>
          <w:lang w:val="en-US"/>
        </w:rPr>
        <w:t>cav,</w:t>
      </w:r>
      <w:r w:rsidR="00AF116F">
        <w:rPr>
          <w:sz w:val="24"/>
          <w:szCs w:val="24"/>
          <w:vertAlign w:val="subscript"/>
          <w:lang w:val="en-US"/>
        </w:rPr>
        <w:t>w</w:t>
      </w:r>
      <w:proofErr w:type="spellEnd"/>
      <w:r w:rsidR="00AF116F">
        <w:rPr>
          <w:sz w:val="24"/>
          <w:szCs w:val="24"/>
          <w:lang w:val="en-US"/>
        </w:rPr>
        <w:t>/</w:t>
      </w:r>
      <w:proofErr w:type="spellStart"/>
      <w:r w:rsidR="00AF116F" w:rsidRPr="00873412">
        <w:rPr>
          <w:i/>
          <w:sz w:val="24"/>
          <w:szCs w:val="24"/>
          <w:lang w:val="en-US"/>
        </w:rPr>
        <w:t>D</w:t>
      </w:r>
      <w:r w:rsidR="00AF116F">
        <w:rPr>
          <w:sz w:val="24"/>
          <w:szCs w:val="24"/>
          <w:vertAlign w:val="subscript"/>
          <w:lang w:val="en-US"/>
        </w:rPr>
        <w:t>cav,air</w:t>
      </w:r>
      <w:proofErr w:type="spellEnd"/>
      <w:r w:rsidR="00AF116F">
        <w:rPr>
          <w:sz w:val="24"/>
          <w:szCs w:val="24"/>
          <w:lang w:val="en-US"/>
        </w:rPr>
        <w:t xml:space="preserve"> </w:t>
      </w:r>
      <w:r>
        <w:rPr>
          <w:sz w:val="24"/>
          <w:szCs w:val="24"/>
          <w:lang w:val="en-US"/>
        </w:rPr>
        <w:t xml:space="preserve">of </w:t>
      </w:r>
      <w:r w:rsidR="00AF116F">
        <w:rPr>
          <w:sz w:val="24"/>
          <w:szCs w:val="24"/>
          <w:lang w:val="en-US"/>
        </w:rPr>
        <w:t>choices regarding electron transport</w:t>
      </w:r>
      <w:r>
        <w:rPr>
          <w:sz w:val="24"/>
          <w:szCs w:val="24"/>
          <w:lang w:val="en-US"/>
        </w:rPr>
        <w:t xml:space="preserve">, the goodness of the chamber geometry modelling and the </w:t>
      </w:r>
      <w:r w:rsidR="00984400">
        <w:rPr>
          <w:sz w:val="24"/>
          <w:szCs w:val="24"/>
          <w:lang w:val="en-US"/>
        </w:rPr>
        <w:t xml:space="preserve">sensitivity to the </w:t>
      </w:r>
      <w:r>
        <w:rPr>
          <w:sz w:val="24"/>
          <w:szCs w:val="24"/>
          <w:lang w:val="en-US"/>
        </w:rPr>
        <w:t>incident spectra. The uncertain</w:t>
      </w:r>
      <w:r w:rsidR="00175268">
        <w:rPr>
          <w:sz w:val="24"/>
          <w:szCs w:val="24"/>
          <w:lang w:val="en-US"/>
        </w:rPr>
        <w:t xml:space="preserve">ties </w:t>
      </w:r>
      <w:r w:rsidR="00FD602E" w:rsidRPr="00FD602E">
        <w:rPr>
          <w:sz w:val="24"/>
          <w:szCs w:val="24"/>
          <w:lang w:val="en-US"/>
        </w:rPr>
        <w:t>evaluated by statistical (</w:t>
      </w:r>
      <w:r w:rsidR="00FD602E" w:rsidRPr="00FD602E">
        <w:rPr>
          <w:rFonts w:ascii="Symbol" w:hAnsi="Symbol"/>
          <w:i/>
          <w:sz w:val="24"/>
          <w:szCs w:val="24"/>
          <w:lang w:val="en-US"/>
        </w:rPr>
        <w:t></w:t>
      </w:r>
      <w:proofErr w:type="gramStart"/>
      <w:r w:rsidR="00FD602E" w:rsidRPr="00FD602E">
        <w:rPr>
          <w:sz w:val="24"/>
          <w:szCs w:val="24"/>
          <w:vertAlign w:val="subscript"/>
          <w:lang w:val="en-US"/>
        </w:rPr>
        <w:t>A</w:t>
      </w:r>
      <w:r w:rsidR="00FD602E" w:rsidRPr="00FD602E">
        <w:rPr>
          <w:sz w:val="24"/>
          <w:szCs w:val="24"/>
          <w:lang w:val="en-US"/>
        </w:rPr>
        <w:t xml:space="preserve"> )</w:t>
      </w:r>
      <w:proofErr w:type="gramEnd"/>
      <w:r w:rsidR="00FD602E" w:rsidRPr="00FD602E">
        <w:rPr>
          <w:sz w:val="24"/>
          <w:szCs w:val="24"/>
          <w:lang w:val="en-US"/>
        </w:rPr>
        <w:t xml:space="preserve"> and non-statistical (</w:t>
      </w:r>
      <w:r w:rsidR="00FD602E" w:rsidRPr="00FD602E">
        <w:rPr>
          <w:rFonts w:ascii="Symbol" w:hAnsi="Symbol"/>
          <w:i/>
          <w:sz w:val="24"/>
          <w:szCs w:val="24"/>
          <w:lang w:val="en-US"/>
        </w:rPr>
        <w:t></w:t>
      </w:r>
      <w:r w:rsidR="00FD602E" w:rsidRPr="00FD602E">
        <w:rPr>
          <w:sz w:val="24"/>
          <w:szCs w:val="24"/>
          <w:vertAlign w:val="subscript"/>
          <w:lang w:val="en-US"/>
        </w:rPr>
        <w:t>B</w:t>
      </w:r>
      <w:r w:rsidR="00FD602E" w:rsidRPr="00FD602E">
        <w:rPr>
          <w:sz w:val="24"/>
          <w:szCs w:val="24"/>
          <w:lang w:val="en-US"/>
        </w:rPr>
        <w:t xml:space="preserve">) methods </w:t>
      </w:r>
      <w:r w:rsidR="00FD602E">
        <w:rPr>
          <w:sz w:val="24"/>
          <w:szCs w:val="24"/>
          <w:lang w:val="en-US"/>
        </w:rPr>
        <w:t xml:space="preserve">are presented in </w:t>
      </w:r>
      <w:r w:rsidRPr="00FD602E">
        <w:rPr>
          <w:sz w:val="24"/>
          <w:szCs w:val="24"/>
          <w:lang w:val="en-US"/>
        </w:rPr>
        <w:t>Tab</w:t>
      </w:r>
      <w:r w:rsidR="00175268" w:rsidRPr="00FD602E">
        <w:rPr>
          <w:sz w:val="24"/>
          <w:szCs w:val="24"/>
          <w:lang w:val="en-US"/>
        </w:rPr>
        <w:t>le 2</w:t>
      </w:r>
      <w:r w:rsidRPr="00FD602E">
        <w:rPr>
          <w:sz w:val="24"/>
          <w:szCs w:val="24"/>
          <w:lang w:val="en-US"/>
        </w:rPr>
        <w:t>, which inclu</w:t>
      </w:r>
      <w:r>
        <w:rPr>
          <w:sz w:val="24"/>
          <w:szCs w:val="24"/>
          <w:lang w:val="en-US"/>
        </w:rPr>
        <w:t xml:space="preserve">des </w:t>
      </w:r>
      <w:r w:rsidR="00390D4A">
        <w:rPr>
          <w:sz w:val="24"/>
          <w:szCs w:val="24"/>
          <w:lang w:val="en-US"/>
        </w:rPr>
        <w:t xml:space="preserve">the </w:t>
      </w:r>
      <w:r w:rsidR="00DA2510">
        <w:rPr>
          <w:sz w:val="24"/>
          <w:szCs w:val="24"/>
          <w:lang w:val="en-US"/>
        </w:rPr>
        <w:t>uncertainty of</w:t>
      </w:r>
      <w:r w:rsidR="00390D4A">
        <w:rPr>
          <w:sz w:val="24"/>
          <w:szCs w:val="24"/>
          <w:lang w:val="en-US"/>
        </w:rPr>
        <w:t xml:space="preserve"> the </w:t>
      </w:r>
      <w:r>
        <w:rPr>
          <w:sz w:val="24"/>
          <w:szCs w:val="24"/>
          <w:lang w:val="en-US"/>
        </w:rPr>
        <w:t>BIPM air-</w:t>
      </w:r>
      <w:r w:rsidR="00390D4A">
        <w:rPr>
          <w:sz w:val="24"/>
          <w:szCs w:val="24"/>
          <w:lang w:val="en-US"/>
        </w:rPr>
        <w:t>kerma determination</w:t>
      </w:r>
      <w:r>
        <w:rPr>
          <w:sz w:val="24"/>
          <w:szCs w:val="24"/>
          <w:lang w:val="en-US"/>
        </w:rPr>
        <w:t>. N</w:t>
      </w:r>
      <w:r w:rsidR="008C4817">
        <w:rPr>
          <w:sz w:val="24"/>
          <w:szCs w:val="24"/>
          <w:lang w:val="en-US"/>
        </w:rPr>
        <w:t>ote that the air-</w:t>
      </w:r>
      <w:r>
        <w:rPr>
          <w:sz w:val="24"/>
          <w:szCs w:val="24"/>
          <w:lang w:val="en-US"/>
        </w:rPr>
        <w:t xml:space="preserve">kerma determination </w:t>
      </w:r>
      <w:r w:rsidR="008C4817">
        <w:rPr>
          <w:sz w:val="24"/>
          <w:szCs w:val="24"/>
          <w:lang w:val="en-US"/>
        </w:rPr>
        <w:t xml:space="preserve">for the purpose of the </w:t>
      </w:r>
      <w:proofErr w:type="spellStart"/>
      <w:r w:rsidR="008C4817" w:rsidRPr="008C4817">
        <w:rPr>
          <w:i/>
          <w:sz w:val="24"/>
          <w:szCs w:val="24"/>
          <w:lang w:val="en-US"/>
        </w:rPr>
        <w:t>D</w:t>
      </w:r>
      <w:r w:rsidR="008C4817" w:rsidRPr="008C4817">
        <w:rPr>
          <w:sz w:val="24"/>
          <w:szCs w:val="24"/>
          <w:vertAlign w:val="subscript"/>
          <w:lang w:val="en-US"/>
        </w:rPr>
        <w:t>w</w:t>
      </w:r>
      <w:proofErr w:type="spellEnd"/>
      <w:r w:rsidR="008C4817">
        <w:rPr>
          <w:sz w:val="24"/>
          <w:szCs w:val="24"/>
          <w:lang w:val="en-US"/>
        </w:rPr>
        <w:t>/</w:t>
      </w:r>
      <w:proofErr w:type="spellStart"/>
      <w:r w:rsidR="008C4817" w:rsidRPr="008C4817">
        <w:rPr>
          <w:i/>
          <w:sz w:val="24"/>
          <w:szCs w:val="24"/>
          <w:lang w:val="en-US"/>
        </w:rPr>
        <w:t>K</w:t>
      </w:r>
      <w:r w:rsidR="008C4817" w:rsidRPr="008C4817">
        <w:rPr>
          <w:sz w:val="24"/>
          <w:szCs w:val="24"/>
          <w:vertAlign w:val="subscript"/>
          <w:lang w:val="en-US"/>
        </w:rPr>
        <w:t>air</w:t>
      </w:r>
      <w:proofErr w:type="spellEnd"/>
      <w:r w:rsidR="008C4817">
        <w:rPr>
          <w:sz w:val="24"/>
          <w:szCs w:val="24"/>
          <w:lang w:val="en-US"/>
        </w:rPr>
        <w:t xml:space="preserve"> evaluation </w:t>
      </w:r>
      <w:r>
        <w:rPr>
          <w:sz w:val="24"/>
          <w:szCs w:val="24"/>
          <w:lang w:val="en-US"/>
        </w:rPr>
        <w:t>inc</w:t>
      </w:r>
      <w:r w:rsidR="008C4817">
        <w:rPr>
          <w:sz w:val="24"/>
          <w:szCs w:val="24"/>
          <w:lang w:val="en-US"/>
        </w:rPr>
        <w:t xml:space="preserve">orporates the recent recommendations of </w:t>
      </w:r>
      <w:r>
        <w:rPr>
          <w:sz w:val="24"/>
          <w:szCs w:val="24"/>
          <w:lang w:val="en-US"/>
        </w:rPr>
        <w:t>ICRU Report 90 (ICRU 2016), namely</w:t>
      </w:r>
      <w:r w:rsidR="008C4817">
        <w:rPr>
          <w:sz w:val="24"/>
          <w:szCs w:val="24"/>
          <w:lang w:val="en-US"/>
        </w:rPr>
        <w:t xml:space="preserve"> an increase in the uncertainty of </w:t>
      </w:r>
      <w:r w:rsidR="008C4817" w:rsidRPr="00D83B7E">
        <w:rPr>
          <w:i/>
          <w:sz w:val="24"/>
          <w:szCs w:val="24"/>
          <w:lang w:val="en-US"/>
        </w:rPr>
        <w:t>W</w:t>
      </w:r>
      <w:r w:rsidR="008C4817" w:rsidRPr="00D83B7E">
        <w:rPr>
          <w:sz w:val="24"/>
          <w:szCs w:val="24"/>
          <w:vertAlign w:val="subscript"/>
          <w:lang w:val="en-US"/>
        </w:rPr>
        <w:t>air</w:t>
      </w:r>
      <w:r w:rsidR="008C4817">
        <w:rPr>
          <w:sz w:val="24"/>
          <w:szCs w:val="24"/>
          <w:lang w:val="en-US"/>
        </w:rPr>
        <w:t xml:space="preserve"> to 0.35 % and the inclusion of the correction factor </w:t>
      </w:r>
      <w:proofErr w:type="spellStart"/>
      <w:r w:rsidR="008C4817" w:rsidRPr="008C4817">
        <w:rPr>
          <w:i/>
          <w:sz w:val="24"/>
          <w:szCs w:val="24"/>
          <w:lang w:val="en-US"/>
        </w:rPr>
        <w:t>k</w:t>
      </w:r>
      <w:r w:rsidR="008C4817" w:rsidRPr="008C4817">
        <w:rPr>
          <w:sz w:val="24"/>
          <w:szCs w:val="24"/>
          <w:vertAlign w:val="subscript"/>
          <w:lang w:val="en-US"/>
        </w:rPr>
        <w:t>ii</w:t>
      </w:r>
      <w:r w:rsidR="008C4817" w:rsidRPr="008C4817">
        <w:rPr>
          <w:i/>
          <w:sz w:val="24"/>
          <w:szCs w:val="24"/>
          <w:lang w:val="en-US"/>
        </w:rPr>
        <w:t>k</w:t>
      </w:r>
      <w:r w:rsidR="008C4817" w:rsidRPr="008C4817">
        <w:rPr>
          <w:sz w:val="24"/>
          <w:szCs w:val="24"/>
          <w:vertAlign w:val="subscript"/>
          <w:lang w:val="en-US"/>
        </w:rPr>
        <w:t>W</w:t>
      </w:r>
      <w:proofErr w:type="spellEnd"/>
      <w:r w:rsidR="008C4817">
        <w:rPr>
          <w:sz w:val="24"/>
          <w:szCs w:val="24"/>
          <w:lang w:val="en-US"/>
        </w:rPr>
        <w:t xml:space="preserve"> and its uncertainty</w:t>
      </w:r>
      <w:r w:rsidR="002A7A8A">
        <w:rPr>
          <w:sz w:val="24"/>
          <w:szCs w:val="24"/>
          <w:lang w:val="en-US"/>
        </w:rPr>
        <w:t xml:space="preserve"> of 0.05 %</w:t>
      </w:r>
      <w:r w:rsidR="00390D4A">
        <w:rPr>
          <w:sz w:val="24"/>
          <w:szCs w:val="24"/>
          <w:lang w:val="en-US"/>
        </w:rPr>
        <w:t>.</w:t>
      </w:r>
      <w:r w:rsidR="008C4817">
        <w:rPr>
          <w:sz w:val="24"/>
          <w:szCs w:val="24"/>
          <w:lang w:val="en-US"/>
        </w:rPr>
        <w:t xml:space="preserve"> </w:t>
      </w:r>
      <w:r w:rsidR="00481AD5">
        <w:rPr>
          <w:sz w:val="24"/>
          <w:szCs w:val="24"/>
          <w:lang w:val="en-US"/>
        </w:rPr>
        <w:t>The adopted v</w:t>
      </w:r>
      <w:r w:rsidR="008C4817">
        <w:rPr>
          <w:sz w:val="24"/>
          <w:szCs w:val="24"/>
          <w:lang w:val="en-US"/>
        </w:rPr>
        <w:t xml:space="preserve">alues for </w:t>
      </w:r>
      <w:proofErr w:type="spellStart"/>
      <w:r w:rsidR="008C4817" w:rsidRPr="008C4817">
        <w:rPr>
          <w:i/>
          <w:sz w:val="24"/>
          <w:szCs w:val="24"/>
          <w:lang w:val="en-US"/>
        </w:rPr>
        <w:t>k</w:t>
      </w:r>
      <w:r w:rsidR="008C4817" w:rsidRPr="008C4817">
        <w:rPr>
          <w:sz w:val="24"/>
          <w:szCs w:val="24"/>
          <w:vertAlign w:val="subscript"/>
          <w:lang w:val="en-US"/>
        </w:rPr>
        <w:t>ii</w:t>
      </w:r>
      <w:r w:rsidR="008C4817" w:rsidRPr="008C4817">
        <w:rPr>
          <w:i/>
          <w:sz w:val="24"/>
          <w:szCs w:val="24"/>
          <w:lang w:val="en-US"/>
        </w:rPr>
        <w:t>k</w:t>
      </w:r>
      <w:r w:rsidR="008C4817" w:rsidRPr="008C4817">
        <w:rPr>
          <w:sz w:val="24"/>
          <w:szCs w:val="24"/>
          <w:vertAlign w:val="subscript"/>
          <w:lang w:val="en-US"/>
        </w:rPr>
        <w:t>W</w:t>
      </w:r>
      <w:proofErr w:type="spellEnd"/>
      <w:r w:rsidR="008C4817">
        <w:rPr>
          <w:sz w:val="24"/>
          <w:szCs w:val="24"/>
          <w:lang w:val="en-US"/>
        </w:rPr>
        <w:t xml:space="preserve"> </w:t>
      </w:r>
      <w:r w:rsidR="00481AD5">
        <w:rPr>
          <w:sz w:val="24"/>
          <w:szCs w:val="24"/>
          <w:lang w:val="en-US"/>
        </w:rPr>
        <w:t>and their uncertaint</w:t>
      </w:r>
      <w:r w:rsidR="002A7A8A">
        <w:rPr>
          <w:sz w:val="24"/>
          <w:szCs w:val="24"/>
          <w:lang w:val="en-US"/>
        </w:rPr>
        <w:t>y</w:t>
      </w:r>
      <w:r w:rsidR="00DA2510">
        <w:rPr>
          <w:sz w:val="24"/>
          <w:szCs w:val="24"/>
          <w:lang w:val="en-US"/>
        </w:rPr>
        <w:t xml:space="preserve"> </w:t>
      </w:r>
      <w:r w:rsidR="008C4817">
        <w:rPr>
          <w:sz w:val="24"/>
          <w:szCs w:val="24"/>
          <w:lang w:val="en-US"/>
        </w:rPr>
        <w:t xml:space="preserve">are the subject of a separate report to the </w:t>
      </w:r>
      <w:proofErr w:type="gramStart"/>
      <w:r w:rsidR="008C4817">
        <w:rPr>
          <w:sz w:val="24"/>
          <w:szCs w:val="24"/>
          <w:lang w:val="en-US"/>
        </w:rPr>
        <w:t>CCRI(</w:t>
      </w:r>
      <w:proofErr w:type="gramEnd"/>
      <w:r w:rsidR="008C4817">
        <w:rPr>
          <w:sz w:val="24"/>
          <w:szCs w:val="24"/>
          <w:lang w:val="en-US"/>
        </w:rPr>
        <w:t>I).</w:t>
      </w:r>
    </w:p>
    <w:p w:rsidR="001B6B71" w:rsidRPr="008C4817" w:rsidRDefault="008C4817" w:rsidP="000E211C">
      <w:pPr>
        <w:spacing w:after="60"/>
        <w:rPr>
          <w:i/>
          <w:sz w:val="24"/>
          <w:szCs w:val="24"/>
          <w:lang w:val="en-US"/>
        </w:rPr>
      </w:pPr>
      <w:proofErr w:type="gramStart"/>
      <w:r w:rsidRPr="008C4817">
        <w:rPr>
          <w:i/>
          <w:sz w:val="24"/>
          <w:szCs w:val="24"/>
          <w:lang w:val="en-US"/>
        </w:rPr>
        <w:t xml:space="preserve">5.1  </w:t>
      </w:r>
      <w:r w:rsidR="001B6B71" w:rsidRPr="008C4817">
        <w:rPr>
          <w:i/>
          <w:sz w:val="24"/>
          <w:szCs w:val="24"/>
          <w:lang w:val="en-US"/>
        </w:rPr>
        <w:t>Mass</w:t>
      </w:r>
      <w:proofErr w:type="gramEnd"/>
      <w:r w:rsidR="001B6B71" w:rsidRPr="008C4817">
        <w:rPr>
          <w:i/>
          <w:sz w:val="24"/>
          <w:szCs w:val="24"/>
          <w:lang w:val="en-US"/>
        </w:rPr>
        <w:t xml:space="preserve"> energy-absorption coefficients</w:t>
      </w:r>
    </w:p>
    <w:p w:rsidR="00AF116F" w:rsidRDefault="005B39BB" w:rsidP="00861871">
      <w:pPr>
        <w:rPr>
          <w:sz w:val="24"/>
          <w:szCs w:val="24"/>
          <w:lang w:val="en-US"/>
        </w:rPr>
      </w:pPr>
      <w:r>
        <w:rPr>
          <w:sz w:val="24"/>
          <w:szCs w:val="24"/>
          <w:lang w:val="en-US"/>
        </w:rPr>
        <w:t>Uncertainties for mass energy-</w:t>
      </w:r>
      <w:r w:rsidR="005457A6">
        <w:rPr>
          <w:sz w:val="24"/>
          <w:szCs w:val="24"/>
          <w:lang w:val="en-US"/>
        </w:rPr>
        <w:t xml:space="preserve">absorption coefficients and their ratios have been addressed in a number of recent works (Andreo </w:t>
      </w:r>
      <w:r w:rsidR="005457A6" w:rsidRPr="00BB6698">
        <w:rPr>
          <w:i/>
          <w:sz w:val="24"/>
          <w:szCs w:val="24"/>
          <w:lang w:val="en-US"/>
        </w:rPr>
        <w:t>et al</w:t>
      </w:r>
      <w:r w:rsidR="005457A6">
        <w:rPr>
          <w:sz w:val="24"/>
          <w:szCs w:val="24"/>
          <w:lang w:val="en-US"/>
        </w:rPr>
        <w:t xml:space="preserve"> 2012, ICRU 2016). Of in</w:t>
      </w:r>
      <w:r w:rsidR="00FD602E">
        <w:rPr>
          <w:sz w:val="24"/>
          <w:szCs w:val="24"/>
          <w:lang w:val="en-US"/>
        </w:rPr>
        <w:t>terest for the present report</w:t>
      </w:r>
      <w:r w:rsidR="005457A6">
        <w:rPr>
          <w:sz w:val="24"/>
          <w:szCs w:val="24"/>
          <w:lang w:val="en-US"/>
        </w:rPr>
        <w:t xml:space="preserve"> is the specific case of (</w:t>
      </w:r>
      <w:r w:rsidR="00415AFE" w:rsidRPr="00415AFE">
        <w:rPr>
          <w:i/>
          <w:sz w:val="24"/>
          <w:szCs w:val="24"/>
          <w:lang w:val="en-US"/>
        </w:rPr>
        <w:t>µ</w:t>
      </w:r>
      <w:proofErr w:type="spellStart"/>
      <w:r w:rsidR="00415AFE" w:rsidRPr="00415AFE">
        <w:rPr>
          <w:sz w:val="24"/>
          <w:szCs w:val="24"/>
          <w:vertAlign w:val="subscript"/>
          <w:lang w:val="en-US"/>
        </w:rPr>
        <w:t>en</w:t>
      </w:r>
      <w:proofErr w:type="spellEnd"/>
      <w:r w:rsidR="00415AFE">
        <w:rPr>
          <w:sz w:val="24"/>
          <w:szCs w:val="24"/>
          <w:lang w:val="en-US"/>
        </w:rPr>
        <w:t>/</w:t>
      </w:r>
      <w:r w:rsidR="00415AFE" w:rsidRPr="00415AFE">
        <w:rPr>
          <w:rFonts w:ascii="Symbol" w:hAnsi="Symbol"/>
          <w:i/>
          <w:sz w:val="24"/>
          <w:szCs w:val="24"/>
          <w:lang w:val="en-US"/>
        </w:rPr>
        <w:t></w:t>
      </w:r>
      <w:proofErr w:type="gramStart"/>
      <w:r w:rsidR="005457A6">
        <w:rPr>
          <w:sz w:val="24"/>
          <w:szCs w:val="24"/>
          <w:lang w:val="en-US"/>
        </w:rPr>
        <w:t>)</w:t>
      </w:r>
      <w:proofErr w:type="spellStart"/>
      <w:r w:rsidR="005457A6" w:rsidRPr="00415AFE">
        <w:rPr>
          <w:sz w:val="24"/>
          <w:szCs w:val="24"/>
          <w:vertAlign w:val="subscript"/>
          <w:lang w:val="en-US"/>
        </w:rPr>
        <w:t>w,air</w:t>
      </w:r>
      <w:proofErr w:type="spellEnd"/>
      <w:proofErr w:type="gramEnd"/>
      <w:r w:rsidR="005457A6">
        <w:rPr>
          <w:sz w:val="24"/>
          <w:szCs w:val="24"/>
          <w:lang w:val="en-US"/>
        </w:rPr>
        <w:t xml:space="preserve"> for medium-energy x-ray spectra</w:t>
      </w:r>
      <w:r w:rsidR="00E94DDF">
        <w:rPr>
          <w:sz w:val="24"/>
          <w:szCs w:val="24"/>
          <w:lang w:val="en-US"/>
        </w:rPr>
        <w:t xml:space="preserve">. For the evaluation of uncertainty, </w:t>
      </w:r>
      <w:r w:rsidR="00A0497F">
        <w:rPr>
          <w:sz w:val="24"/>
          <w:szCs w:val="24"/>
          <w:lang w:val="en-US"/>
        </w:rPr>
        <w:t xml:space="preserve">we can make use of </w:t>
      </w:r>
      <w:r w:rsidR="00E94DDF">
        <w:rPr>
          <w:sz w:val="24"/>
          <w:szCs w:val="24"/>
          <w:lang w:val="en-US"/>
        </w:rPr>
        <w:t>the corresponding ratio of mass attenuation coefficients (</w:t>
      </w:r>
      <w:r w:rsidR="00E94DDF" w:rsidRPr="00415AFE">
        <w:rPr>
          <w:i/>
          <w:sz w:val="24"/>
          <w:szCs w:val="24"/>
          <w:lang w:val="en-US"/>
        </w:rPr>
        <w:t>µ</w:t>
      </w:r>
      <w:r w:rsidR="00E94DDF">
        <w:rPr>
          <w:sz w:val="24"/>
          <w:szCs w:val="24"/>
          <w:lang w:val="en-US"/>
        </w:rPr>
        <w:t>/</w:t>
      </w:r>
      <w:r w:rsidR="00E94DDF" w:rsidRPr="00415AFE">
        <w:rPr>
          <w:rFonts w:ascii="Symbol" w:hAnsi="Symbol"/>
          <w:i/>
          <w:sz w:val="24"/>
          <w:szCs w:val="24"/>
          <w:lang w:val="en-US"/>
        </w:rPr>
        <w:t></w:t>
      </w:r>
      <w:proofErr w:type="gramStart"/>
      <w:r w:rsidR="00E94DDF">
        <w:rPr>
          <w:sz w:val="24"/>
          <w:szCs w:val="24"/>
          <w:lang w:val="en-US"/>
        </w:rPr>
        <w:t>)</w:t>
      </w:r>
      <w:proofErr w:type="spellStart"/>
      <w:r w:rsidR="00E94DDF" w:rsidRPr="00415AFE">
        <w:rPr>
          <w:sz w:val="24"/>
          <w:szCs w:val="24"/>
          <w:vertAlign w:val="subscript"/>
          <w:lang w:val="en-US"/>
        </w:rPr>
        <w:t>w,air</w:t>
      </w:r>
      <w:proofErr w:type="spellEnd"/>
      <w:proofErr w:type="gramEnd"/>
      <w:r w:rsidR="005457A6">
        <w:rPr>
          <w:sz w:val="24"/>
          <w:szCs w:val="24"/>
          <w:lang w:val="en-US"/>
        </w:rPr>
        <w:t>. ICRU Report 90 gives monoenergetic</w:t>
      </w:r>
      <w:r w:rsidR="00A0497F">
        <w:rPr>
          <w:sz w:val="24"/>
          <w:szCs w:val="24"/>
          <w:lang w:val="en-US"/>
        </w:rPr>
        <w:t xml:space="preserve"> </w:t>
      </w:r>
      <w:r w:rsidR="00A0497F" w:rsidRPr="00415AFE">
        <w:rPr>
          <w:i/>
          <w:sz w:val="24"/>
          <w:szCs w:val="24"/>
          <w:lang w:val="en-US"/>
        </w:rPr>
        <w:t>µ</w:t>
      </w:r>
      <w:r w:rsidR="00A0497F">
        <w:rPr>
          <w:sz w:val="24"/>
          <w:szCs w:val="24"/>
          <w:lang w:val="en-US"/>
        </w:rPr>
        <w:t>/</w:t>
      </w:r>
      <w:r w:rsidR="00A0497F" w:rsidRPr="00415AFE">
        <w:rPr>
          <w:rFonts w:ascii="Symbol" w:hAnsi="Symbol"/>
          <w:i/>
          <w:sz w:val="24"/>
          <w:szCs w:val="24"/>
          <w:lang w:val="en-US"/>
        </w:rPr>
        <w:t></w:t>
      </w:r>
      <w:r w:rsidR="005457A6">
        <w:rPr>
          <w:sz w:val="24"/>
          <w:szCs w:val="24"/>
          <w:lang w:val="en-US"/>
        </w:rPr>
        <w:t xml:space="preserve"> values for water and air, calculated by different authors using different models, for both the photoelectric effect </w:t>
      </w:r>
      <w:r w:rsidR="00415AFE">
        <w:rPr>
          <w:sz w:val="24"/>
          <w:szCs w:val="24"/>
          <w:lang w:val="en-US"/>
        </w:rPr>
        <w:t xml:space="preserve">(five models) </w:t>
      </w:r>
      <w:r w:rsidR="005457A6">
        <w:rPr>
          <w:sz w:val="24"/>
          <w:szCs w:val="24"/>
          <w:lang w:val="en-US"/>
        </w:rPr>
        <w:t>and for Compton scattering</w:t>
      </w:r>
      <w:r w:rsidR="00415AFE">
        <w:rPr>
          <w:sz w:val="24"/>
          <w:szCs w:val="24"/>
          <w:lang w:val="en-US"/>
        </w:rPr>
        <w:t xml:space="preserve"> (three models)</w:t>
      </w:r>
      <w:r w:rsidR="005457A6">
        <w:rPr>
          <w:sz w:val="24"/>
          <w:szCs w:val="24"/>
          <w:lang w:val="en-US"/>
        </w:rPr>
        <w:t xml:space="preserve">. </w:t>
      </w:r>
      <w:r w:rsidR="00415AFE">
        <w:rPr>
          <w:sz w:val="24"/>
          <w:szCs w:val="24"/>
          <w:lang w:val="en-US"/>
        </w:rPr>
        <w:t>From the spread of the</w:t>
      </w:r>
      <w:r w:rsidR="00481AD5">
        <w:rPr>
          <w:sz w:val="24"/>
          <w:szCs w:val="24"/>
          <w:lang w:val="en-US"/>
        </w:rPr>
        <w:t>se</w:t>
      </w:r>
      <w:r w:rsidR="00415AFE">
        <w:rPr>
          <w:sz w:val="24"/>
          <w:szCs w:val="24"/>
          <w:lang w:val="en-US"/>
        </w:rPr>
        <w:t xml:space="preserve"> values we can make deductio</w:t>
      </w:r>
      <w:r w:rsidR="00AF116F">
        <w:rPr>
          <w:sz w:val="24"/>
          <w:szCs w:val="24"/>
          <w:lang w:val="en-US"/>
        </w:rPr>
        <w:t>ns regarding the uncertainties.</w:t>
      </w:r>
    </w:p>
    <w:p w:rsidR="005457A6" w:rsidRDefault="00415AFE" w:rsidP="00861871">
      <w:pPr>
        <w:rPr>
          <w:sz w:val="24"/>
          <w:szCs w:val="24"/>
          <w:lang w:val="en-US"/>
        </w:rPr>
      </w:pPr>
      <w:r>
        <w:rPr>
          <w:sz w:val="24"/>
          <w:szCs w:val="24"/>
          <w:lang w:val="en-US"/>
        </w:rPr>
        <w:t>Importa</w:t>
      </w:r>
      <w:r w:rsidR="005543AD">
        <w:rPr>
          <w:sz w:val="24"/>
          <w:szCs w:val="24"/>
          <w:lang w:val="en-US"/>
        </w:rPr>
        <w:t xml:space="preserve">ntly, we can also calculate the </w:t>
      </w:r>
      <w:r>
        <w:rPr>
          <w:sz w:val="24"/>
          <w:szCs w:val="24"/>
          <w:lang w:val="en-US"/>
        </w:rPr>
        <w:t>ratio (</w:t>
      </w:r>
      <w:r w:rsidRPr="00415AFE">
        <w:rPr>
          <w:i/>
          <w:sz w:val="24"/>
          <w:szCs w:val="24"/>
          <w:lang w:val="en-US"/>
        </w:rPr>
        <w:t>µ</w:t>
      </w:r>
      <w:r>
        <w:rPr>
          <w:sz w:val="24"/>
          <w:szCs w:val="24"/>
          <w:lang w:val="en-US"/>
        </w:rPr>
        <w:t>/</w:t>
      </w:r>
      <w:r w:rsidRPr="00415AFE">
        <w:rPr>
          <w:rFonts w:ascii="Symbol" w:hAnsi="Symbol"/>
          <w:i/>
          <w:sz w:val="24"/>
          <w:szCs w:val="24"/>
          <w:lang w:val="en-US"/>
        </w:rPr>
        <w:t></w:t>
      </w:r>
      <w:proofErr w:type="gramStart"/>
      <w:r>
        <w:rPr>
          <w:sz w:val="24"/>
          <w:szCs w:val="24"/>
          <w:lang w:val="en-US"/>
        </w:rPr>
        <w:t>)</w:t>
      </w:r>
      <w:proofErr w:type="spellStart"/>
      <w:r w:rsidRPr="00415AFE">
        <w:rPr>
          <w:sz w:val="24"/>
          <w:szCs w:val="24"/>
          <w:vertAlign w:val="subscript"/>
          <w:lang w:val="en-US"/>
        </w:rPr>
        <w:t>w,air</w:t>
      </w:r>
      <w:proofErr w:type="spellEnd"/>
      <w:proofErr w:type="gramEnd"/>
      <w:r>
        <w:rPr>
          <w:sz w:val="24"/>
          <w:szCs w:val="24"/>
          <w:lang w:val="en-US"/>
        </w:rPr>
        <w:t xml:space="preserve"> for a given model to provide information on </w:t>
      </w:r>
      <w:r w:rsidR="00283563">
        <w:rPr>
          <w:sz w:val="24"/>
          <w:szCs w:val="24"/>
          <w:lang w:val="en-US"/>
        </w:rPr>
        <w:t xml:space="preserve">the </w:t>
      </w:r>
      <w:r>
        <w:rPr>
          <w:sz w:val="24"/>
          <w:szCs w:val="24"/>
          <w:lang w:val="en-US"/>
        </w:rPr>
        <w:t xml:space="preserve">extent </w:t>
      </w:r>
      <w:r w:rsidR="00283563">
        <w:rPr>
          <w:sz w:val="24"/>
          <w:szCs w:val="24"/>
          <w:lang w:val="en-US"/>
        </w:rPr>
        <w:t xml:space="preserve">to which </w:t>
      </w:r>
      <w:r>
        <w:rPr>
          <w:sz w:val="24"/>
          <w:szCs w:val="24"/>
          <w:lang w:val="en-US"/>
        </w:rPr>
        <w:t>the uncertainty is reduced through correlation. The results show large reductions in uncertainty such t</w:t>
      </w:r>
      <w:r w:rsidR="000033B7">
        <w:rPr>
          <w:sz w:val="24"/>
          <w:szCs w:val="24"/>
          <w:lang w:val="en-US"/>
        </w:rPr>
        <w:t xml:space="preserve">hat, </w:t>
      </w:r>
      <w:r w:rsidR="00EB015C">
        <w:rPr>
          <w:sz w:val="24"/>
          <w:szCs w:val="24"/>
          <w:lang w:val="en-US"/>
        </w:rPr>
        <w:t>when taking maximum d</w:t>
      </w:r>
      <w:r>
        <w:rPr>
          <w:sz w:val="24"/>
          <w:szCs w:val="24"/>
          <w:lang w:val="en-US"/>
        </w:rPr>
        <w:t xml:space="preserve">ifferences (rather than standard deviations), the uncertainty </w:t>
      </w:r>
      <w:r w:rsidR="00EB015C">
        <w:rPr>
          <w:sz w:val="24"/>
          <w:szCs w:val="24"/>
          <w:lang w:val="en-US"/>
        </w:rPr>
        <w:t>of the spectral value</w:t>
      </w:r>
      <w:r>
        <w:rPr>
          <w:sz w:val="24"/>
          <w:szCs w:val="24"/>
          <w:lang w:val="en-US"/>
        </w:rPr>
        <w:t xml:space="preserve"> for </w:t>
      </w:r>
      <w:r w:rsidR="00EB015C">
        <w:rPr>
          <w:sz w:val="24"/>
          <w:szCs w:val="24"/>
          <w:lang w:val="en-US"/>
        </w:rPr>
        <w:t>(</w:t>
      </w:r>
      <w:r w:rsidR="00EB015C" w:rsidRPr="00415AFE">
        <w:rPr>
          <w:i/>
          <w:sz w:val="24"/>
          <w:szCs w:val="24"/>
          <w:lang w:val="en-US"/>
        </w:rPr>
        <w:t>µ</w:t>
      </w:r>
      <w:proofErr w:type="spellStart"/>
      <w:r w:rsidR="00EB015C" w:rsidRPr="00415AFE">
        <w:rPr>
          <w:sz w:val="24"/>
          <w:szCs w:val="24"/>
          <w:vertAlign w:val="subscript"/>
          <w:lang w:val="en-US"/>
        </w:rPr>
        <w:t>en</w:t>
      </w:r>
      <w:proofErr w:type="spellEnd"/>
      <w:r w:rsidR="00EB015C">
        <w:rPr>
          <w:sz w:val="24"/>
          <w:szCs w:val="24"/>
          <w:lang w:val="en-US"/>
        </w:rPr>
        <w:t>/</w:t>
      </w:r>
      <w:r w:rsidR="00EB015C" w:rsidRPr="00415AFE">
        <w:rPr>
          <w:rFonts w:ascii="Symbol" w:hAnsi="Symbol"/>
          <w:i/>
          <w:sz w:val="24"/>
          <w:szCs w:val="24"/>
          <w:lang w:val="en-US"/>
        </w:rPr>
        <w:t></w:t>
      </w:r>
      <w:r w:rsidR="00EB015C">
        <w:rPr>
          <w:sz w:val="24"/>
          <w:szCs w:val="24"/>
          <w:lang w:val="en-US"/>
        </w:rPr>
        <w:t>)</w:t>
      </w:r>
      <w:proofErr w:type="spellStart"/>
      <w:r w:rsidR="00EB015C" w:rsidRPr="00415AFE">
        <w:rPr>
          <w:sz w:val="24"/>
          <w:szCs w:val="24"/>
          <w:vertAlign w:val="subscript"/>
          <w:lang w:val="en-US"/>
        </w:rPr>
        <w:t>w,air</w:t>
      </w:r>
      <w:proofErr w:type="spellEnd"/>
      <w:r>
        <w:rPr>
          <w:sz w:val="24"/>
          <w:szCs w:val="24"/>
          <w:lang w:val="en-US"/>
        </w:rPr>
        <w:t xml:space="preserve"> </w:t>
      </w:r>
      <w:r w:rsidR="00EB015C">
        <w:rPr>
          <w:sz w:val="24"/>
          <w:szCs w:val="24"/>
          <w:lang w:val="en-US"/>
        </w:rPr>
        <w:t xml:space="preserve">is </w:t>
      </w:r>
      <w:r w:rsidR="00065F05">
        <w:rPr>
          <w:sz w:val="24"/>
          <w:szCs w:val="24"/>
          <w:lang w:val="en-US"/>
        </w:rPr>
        <w:t>around 0.</w:t>
      </w:r>
      <w:r w:rsidR="00162B58">
        <w:rPr>
          <w:sz w:val="24"/>
          <w:szCs w:val="24"/>
          <w:lang w:val="en-US"/>
        </w:rPr>
        <w:t>2</w:t>
      </w:r>
      <w:r>
        <w:rPr>
          <w:sz w:val="24"/>
          <w:szCs w:val="24"/>
          <w:lang w:val="en-US"/>
        </w:rPr>
        <w:t xml:space="preserve"> %</w:t>
      </w:r>
      <w:r w:rsidR="00EB015C">
        <w:rPr>
          <w:sz w:val="24"/>
          <w:szCs w:val="24"/>
          <w:lang w:val="en-US"/>
        </w:rPr>
        <w:t xml:space="preserve"> at 100 kV, reducing to </w:t>
      </w:r>
      <w:r w:rsidR="00065F05">
        <w:rPr>
          <w:sz w:val="24"/>
          <w:szCs w:val="24"/>
          <w:lang w:val="en-US"/>
        </w:rPr>
        <w:t xml:space="preserve">around </w:t>
      </w:r>
      <w:r w:rsidR="00162B58">
        <w:rPr>
          <w:sz w:val="24"/>
          <w:szCs w:val="24"/>
          <w:lang w:val="en-US"/>
        </w:rPr>
        <w:t>0.1</w:t>
      </w:r>
      <w:r w:rsidR="00EB015C">
        <w:rPr>
          <w:sz w:val="24"/>
          <w:szCs w:val="24"/>
          <w:lang w:val="en-US"/>
        </w:rPr>
        <w:t> % at 250 kV</w:t>
      </w:r>
      <w:r w:rsidR="00910F09">
        <w:rPr>
          <w:rStyle w:val="FootnoteReference"/>
          <w:sz w:val="24"/>
          <w:szCs w:val="24"/>
          <w:lang w:val="en-US"/>
        </w:rPr>
        <w:footnoteReference w:id="1"/>
      </w:r>
      <w:r w:rsidR="00EB015C">
        <w:rPr>
          <w:sz w:val="24"/>
          <w:szCs w:val="24"/>
          <w:lang w:val="en-US"/>
        </w:rPr>
        <w:t xml:space="preserve">. </w:t>
      </w:r>
      <w:r w:rsidR="001819F2">
        <w:rPr>
          <w:sz w:val="24"/>
          <w:szCs w:val="24"/>
          <w:lang w:val="en-US"/>
        </w:rPr>
        <w:t>The value 0.25</w:t>
      </w:r>
      <w:r w:rsidR="000D7D86">
        <w:rPr>
          <w:sz w:val="24"/>
          <w:szCs w:val="24"/>
          <w:lang w:val="en-US"/>
        </w:rPr>
        <w:t> </w:t>
      </w:r>
      <w:r w:rsidR="00EB015C">
        <w:rPr>
          <w:sz w:val="24"/>
          <w:szCs w:val="24"/>
          <w:lang w:val="en-US"/>
        </w:rPr>
        <w:t xml:space="preserve">% </w:t>
      </w:r>
      <w:r w:rsidR="001819F2">
        <w:rPr>
          <w:sz w:val="24"/>
          <w:szCs w:val="24"/>
          <w:lang w:val="en-US"/>
        </w:rPr>
        <w:t>included in Tabl</w:t>
      </w:r>
      <w:r w:rsidR="00175268">
        <w:rPr>
          <w:sz w:val="24"/>
          <w:szCs w:val="24"/>
          <w:lang w:val="en-US"/>
        </w:rPr>
        <w:t>e 2</w:t>
      </w:r>
      <w:r w:rsidR="001819F2">
        <w:rPr>
          <w:sz w:val="24"/>
          <w:szCs w:val="24"/>
          <w:lang w:val="en-US"/>
        </w:rPr>
        <w:t xml:space="preserve"> </w:t>
      </w:r>
      <w:r w:rsidR="00EB015C">
        <w:rPr>
          <w:sz w:val="24"/>
          <w:szCs w:val="24"/>
          <w:lang w:val="en-US"/>
        </w:rPr>
        <w:t xml:space="preserve">is </w:t>
      </w:r>
      <w:r w:rsidR="001819F2">
        <w:rPr>
          <w:sz w:val="24"/>
          <w:szCs w:val="24"/>
          <w:lang w:val="en-US"/>
        </w:rPr>
        <w:t>more conservative than the</w:t>
      </w:r>
      <w:r w:rsidR="001B6B71">
        <w:rPr>
          <w:sz w:val="24"/>
          <w:szCs w:val="24"/>
          <w:lang w:val="en-US"/>
        </w:rPr>
        <w:t xml:space="preserve"> </w:t>
      </w:r>
      <w:r w:rsidR="001819F2">
        <w:rPr>
          <w:sz w:val="24"/>
          <w:szCs w:val="24"/>
          <w:lang w:val="en-US"/>
        </w:rPr>
        <w:t xml:space="preserve">estimate </w:t>
      </w:r>
      <w:r w:rsidR="001B6B71">
        <w:rPr>
          <w:sz w:val="24"/>
          <w:szCs w:val="24"/>
          <w:lang w:val="en-US"/>
        </w:rPr>
        <w:t>of 0.15 % for</w:t>
      </w:r>
      <w:r w:rsidR="001819F2">
        <w:rPr>
          <w:sz w:val="24"/>
          <w:szCs w:val="24"/>
          <w:lang w:val="en-US"/>
        </w:rPr>
        <w:t xml:space="preserve"> 100 kV given by</w:t>
      </w:r>
      <w:r w:rsidR="00EB015C">
        <w:rPr>
          <w:sz w:val="24"/>
          <w:szCs w:val="24"/>
          <w:lang w:val="en-US"/>
        </w:rPr>
        <w:t xml:space="preserve"> Andre</w:t>
      </w:r>
      <w:r w:rsidR="001B6B71">
        <w:rPr>
          <w:sz w:val="24"/>
          <w:szCs w:val="24"/>
          <w:lang w:val="en-US"/>
        </w:rPr>
        <w:t xml:space="preserve">o </w:t>
      </w:r>
      <w:r w:rsidR="001B6B71" w:rsidRPr="00BB6698">
        <w:rPr>
          <w:i/>
          <w:sz w:val="24"/>
          <w:szCs w:val="24"/>
          <w:lang w:val="en-US"/>
        </w:rPr>
        <w:t>et al</w:t>
      </w:r>
      <w:r w:rsidR="00283563">
        <w:rPr>
          <w:sz w:val="24"/>
          <w:szCs w:val="24"/>
          <w:lang w:val="en-US"/>
        </w:rPr>
        <w:t xml:space="preserve">, who looked </w:t>
      </w:r>
      <w:r w:rsidR="001B6B71">
        <w:rPr>
          <w:sz w:val="24"/>
          <w:szCs w:val="24"/>
          <w:lang w:val="en-US"/>
        </w:rPr>
        <w:t xml:space="preserve">not only </w:t>
      </w:r>
      <w:r w:rsidR="00283563">
        <w:rPr>
          <w:sz w:val="24"/>
          <w:szCs w:val="24"/>
          <w:lang w:val="en-US"/>
        </w:rPr>
        <w:t xml:space="preserve">at different data sets </w:t>
      </w:r>
      <w:r w:rsidR="001B6B71">
        <w:rPr>
          <w:sz w:val="24"/>
          <w:szCs w:val="24"/>
          <w:lang w:val="en-US"/>
        </w:rPr>
        <w:t>but also included variations arising from different</w:t>
      </w:r>
      <w:r w:rsidR="00283563">
        <w:rPr>
          <w:sz w:val="24"/>
          <w:szCs w:val="24"/>
          <w:lang w:val="en-US"/>
        </w:rPr>
        <w:t xml:space="preserve"> Monte Carlo implementations.</w:t>
      </w:r>
    </w:p>
    <w:p w:rsidR="00AF116F" w:rsidRDefault="00AF116F" w:rsidP="00861871">
      <w:pPr>
        <w:rPr>
          <w:sz w:val="24"/>
          <w:szCs w:val="24"/>
          <w:lang w:val="en-US"/>
        </w:rPr>
      </w:pPr>
      <w:r>
        <w:rPr>
          <w:sz w:val="24"/>
          <w:szCs w:val="24"/>
          <w:lang w:val="en-US"/>
        </w:rPr>
        <w:t>Note that the present work included a series of measurements of attenuation in slabs of materials, and corresponding Monte Carlo simulations of the measurement apparatus, to provide specific information on the extent to which the Monte Carlo code employed reproduces the measured mass attenuation ratio (</w:t>
      </w:r>
      <w:r w:rsidRPr="00415AFE">
        <w:rPr>
          <w:i/>
          <w:sz w:val="24"/>
          <w:szCs w:val="24"/>
          <w:lang w:val="en-US"/>
        </w:rPr>
        <w:t>µ</w:t>
      </w:r>
      <w:r>
        <w:rPr>
          <w:sz w:val="24"/>
          <w:szCs w:val="24"/>
          <w:lang w:val="en-US"/>
        </w:rPr>
        <w:t>/</w:t>
      </w:r>
      <w:r w:rsidRPr="00415AFE">
        <w:rPr>
          <w:rFonts w:ascii="Symbol" w:hAnsi="Symbol"/>
          <w:i/>
          <w:sz w:val="24"/>
          <w:szCs w:val="24"/>
          <w:lang w:val="en-US"/>
        </w:rPr>
        <w:t></w:t>
      </w:r>
      <w:proofErr w:type="gramStart"/>
      <w:r>
        <w:rPr>
          <w:sz w:val="24"/>
          <w:szCs w:val="24"/>
          <w:lang w:val="en-US"/>
        </w:rPr>
        <w:t>)</w:t>
      </w:r>
      <w:proofErr w:type="spellStart"/>
      <w:r w:rsidRPr="00415AFE">
        <w:rPr>
          <w:sz w:val="24"/>
          <w:szCs w:val="24"/>
          <w:vertAlign w:val="subscript"/>
          <w:lang w:val="en-US"/>
        </w:rPr>
        <w:t>w,air</w:t>
      </w:r>
      <w:proofErr w:type="spellEnd"/>
      <w:proofErr w:type="gramEnd"/>
      <w:r>
        <w:rPr>
          <w:sz w:val="24"/>
          <w:szCs w:val="24"/>
          <w:lang w:val="en-US"/>
        </w:rPr>
        <w:t xml:space="preserve"> for the medium-energy x-ray spectra at the BIPM. However, while agreement between measurements and calculations </w:t>
      </w:r>
      <w:r>
        <w:rPr>
          <w:sz w:val="24"/>
          <w:szCs w:val="24"/>
          <w:lang w:val="en-US"/>
        </w:rPr>
        <w:lastRenderedPageBreak/>
        <w:t>was demonstrated, it was not possible to reduce the experimental uncertainty below the 1.0 % level.</w:t>
      </w:r>
    </w:p>
    <w:p w:rsidR="00C73975" w:rsidRPr="00220C3E" w:rsidRDefault="00C73975" w:rsidP="00AF116F">
      <w:pPr>
        <w:keepNext/>
        <w:keepLines/>
        <w:spacing w:after="60"/>
        <w:ind w:left="1134"/>
        <w:rPr>
          <w:b/>
          <w:lang w:val="en-US"/>
        </w:rPr>
      </w:pPr>
      <w:proofErr w:type="gramStart"/>
      <w:r>
        <w:rPr>
          <w:b/>
          <w:lang w:val="en-US"/>
        </w:rPr>
        <w:t>Table 2</w:t>
      </w:r>
      <w:r w:rsidR="00FD602E">
        <w:rPr>
          <w:b/>
          <w:lang w:val="en-US"/>
        </w:rPr>
        <w:t>.</w:t>
      </w:r>
      <w:proofErr w:type="gramEnd"/>
      <w:r w:rsidR="00FD602E">
        <w:rPr>
          <w:b/>
          <w:lang w:val="en-US"/>
        </w:rPr>
        <w:t xml:space="preserve"> Standard un</w:t>
      </w:r>
      <w:r w:rsidRPr="00220C3E">
        <w:rPr>
          <w:b/>
          <w:lang w:val="en-US"/>
        </w:rPr>
        <w:t>certainty components for determination of</w:t>
      </w:r>
      <w:r>
        <w:rPr>
          <w:b/>
          <w:lang w:val="en-US"/>
        </w:rPr>
        <w:t xml:space="preserve">                 absorbed dose to </w:t>
      </w:r>
      <w:r w:rsidRPr="00220C3E">
        <w:rPr>
          <w:b/>
          <w:lang w:val="en-US"/>
        </w:rPr>
        <w:t xml:space="preserve">water </w:t>
      </w:r>
    </w:p>
    <w:tbl>
      <w:tblPr>
        <w:tblStyle w:val="TableGrid"/>
        <w:tblW w:w="0" w:type="auto"/>
        <w:tblInd w:w="1242" w:type="dxa"/>
        <w:tblLook w:val="04A0" w:firstRow="1" w:lastRow="0" w:firstColumn="1" w:lastColumn="0" w:noHBand="0" w:noVBand="1"/>
      </w:tblPr>
      <w:tblGrid>
        <w:gridCol w:w="2977"/>
        <w:gridCol w:w="1701"/>
        <w:gridCol w:w="1701"/>
      </w:tblGrid>
      <w:tr w:rsidR="00C73975" w:rsidTr="00910F09">
        <w:tc>
          <w:tcPr>
            <w:tcW w:w="2977" w:type="dxa"/>
            <w:vAlign w:val="center"/>
          </w:tcPr>
          <w:p w:rsidR="00C73975" w:rsidRPr="00220C3E" w:rsidRDefault="00C73975" w:rsidP="00AF116F">
            <w:pPr>
              <w:keepNext/>
              <w:keepLines/>
              <w:spacing w:before="40" w:after="40"/>
              <w:rPr>
                <w:lang w:val="en-US"/>
              </w:rPr>
            </w:pPr>
            <w:r w:rsidRPr="00220C3E">
              <w:rPr>
                <w:lang w:val="en-US"/>
              </w:rPr>
              <w:t>Component</w:t>
            </w:r>
          </w:p>
        </w:tc>
        <w:tc>
          <w:tcPr>
            <w:tcW w:w="1701" w:type="dxa"/>
            <w:vAlign w:val="center"/>
          </w:tcPr>
          <w:p w:rsidR="00C73975" w:rsidRPr="00220C3E" w:rsidRDefault="00C73975" w:rsidP="00AF116F">
            <w:pPr>
              <w:keepNext/>
              <w:keepLines/>
              <w:spacing w:before="40" w:after="40"/>
              <w:jc w:val="center"/>
              <w:rPr>
                <w:lang w:val="en-US"/>
              </w:rPr>
            </w:pPr>
            <w:r w:rsidRPr="00220C3E">
              <w:rPr>
                <w:lang w:val="en-US"/>
              </w:rPr>
              <w:t>Type A</w:t>
            </w:r>
          </w:p>
          <w:p w:rsidR="00C73975" w:rsidRPr="00220C3E" w:rsidRDefault="00FD602E" w:rsidP="00AF116F">
            <w:pPr>
              <w:keepNext/>
              <w:keepLines/>
              <w:spacing w:before="40" w:after="40"/>
              <w:jc w:val="center"/>
              <w:rPr>
                <w:lang w:val="en-US"/>
              </w:rPr>
            </w:pPr>
            <w:r w:rsidRPr="004632CD">
              <w:rPr>
                <w:rFonts w:ascii="Symbol" w:hAnsi="Symbol"/>
                <w:i/>
                <w:lang w:val="en-US"/>
              </w:rPr>
              <w:t></w:t>
            </w:r>
            <w:r w:rsidRPr="004632CD">
              <w:rPr>
                <w:vertAlign w:val="subscript"/>
                <w:lang w:val="en-US"/>
              </w:rPr>
              <w:t>A</w:t>
            </w:r>
            <w:r>
              <w:rPr>
                <w:lang w:val="en-US"/>
              </w:rPr>
              <w:t xml:space="preserve"> /</w:t>
            </w:r>
            <w:r w:rsidRPr="00125A3C">
              <w:rPr>
                <w:lang w:val="en-US"/>
              </w:rPr>
              <w:t xml:space="preserve"> %</w:t>
            </w:r>
          </w:p>
        </w:tc>
        <w:tc>
          <w:tcPr>
            <w:tcW w:w="1701" w:type="dxa"/>
            <w:vAlign w:val="center"/>
          </w:tcPr>
          <w:p w:rsidR="00C73975" w:rsidRPr="00220C3E" w:rsidRDefault="00C73975" w:rsidP="00AF116F">
            <w:pPr>
              <w:keepNext/>
              <w:keepLines/>
              <w:spacing w:before="40" w:after="40"/>
              <w:jc w:val="center"/>
              <w:rPr>
                <w:lang w:val="en-US"/>
              </w:rPr>
            </w:pPr>
            <w:r w:rsidRPr="00220C3E">
              <w:rPr>
                <w:lang w:val="en-US"/>
              </w:rPr>
              <w:t>Type B</w:t>
            </w:r>
          </w:p>
          <w:p w:rsidR="00C73975" w:rsidRPr="00220C3E" w:rsidRDefault="00FD602E" w:rsidP="00AF116F">
            <w:pPr>
              <w:keepNext/>
              <w:keepLines/>
              <w:spacing w:before="40" w:after="40"/>
              <w:jc w:val="center"/>
              <w:rPr>
                <w:lang w:val="en-US"/>
              </w:rPr>
            </w:pPr>
            <w:r w:rsidRPr="004632CD">
              <w:rPr>
                <w:rFonts w:ascii="Symbol" w:hAnsi="Symbol"/>
                <w:i/>
                <w:lang w:val="en-US"/>
              </w:rPr>
              <w:t></w:t>
            </w:r>
            <w:r>
              <w:rPr>
                <w:vertAlign w:val="subscript"/>
                <w:lang w:val="en-US"/>
              </w:rPr>
              <w:t>B</w:t>
            </w:r>
            <w:r>
              <w:rPr>
                <w:lang w:val="en-US"/>
              </w:rPr>
              <w:t xml:space="preserve"> /</w:t>
            </w:r>
            <w:r w:rsidRPr="00125A3C">
              <w:rPr>
                <w:lang w:val="en-US"/>
              </w:rPr>
              <w:t xml:space="preserve"> %</w:t>
            </w:r>
          </w:p>
        </w:tc>
      </w:tr>
      <w:tr w:rsidR="00C73975" w:rsidTr="00910F09">
        <w:tc>
          <w:tcPr>
            <w:tcW w:w="2977" w:type="dxa"/>
            <w:vAlign w:val="center"/>
          </w:tcPr>
          <w:p w:rsidR="00C73975" w:rsidRPr="00220C3E" w:rsidRDefault="00C73975" w:rsidP="00AF116F">
            <w:pPr>
              <w:keepNext/>
              <w:keepLines/>
              <w:spacing w:before="40" w:after="40"/>
              <w:rPr>
                <w:i/>
                <w:lang w:val="en-US"/>
              </w:rPr>
            </w:pPr>
            <w:r w:rsidRPr="00220C3E">
              <w:rPr>
                <w:i/>
                <w:lang w:val="en-US"/>
              </w:rPr>
              <w:t>Air-kerma standard</w:t>
            </w:r>
          </w:p>
        </w:tc>
        <w:tc>
          <w:tcPr>
            <w:tcW w:w="3402" w:type="dxa"/>
            <w:gridSpan w:val="2"/>
            <w:vAlign w:val="center"/>
          </w:tcPr>
          <w:p w:rsidR="00C73975" w:rsidRPr="00220C3E" w:rsidRDefault="00C73975" w:rsidP="00AF116F">
            <w:pPr>
              <w:keepNext/>
              <w:keepLines/>
              <w:spacing w:before="40" w:after="40"/>
              <w:jc w:val="center"/>
              <w:rPr>
                <w:lang w:val="en-US"/>
              </w:rPr>
            </w:pPr>
          </w:p>
        </w:tc>
      </w:tr>
      <w:tr w:rsidR="00CC4CBD" w:rsidRPr="009067EC" w:rsidTr="00910F09">
        <w:tc>
          <w:tcPr>
            <w:tcW w:w="2977" w:type="dxa"/>
            <w:vAlign w:val="center"/>
          </w:tcPr>
          <w:p w:rsidR="00CC4CBD" w:rsidRPr="00CC4CBD" w:rsidRDefault="009067EC" w:rsidP="00AF116F">
            <w:pPr>
              <w:keepNext/>
              <w:keepLines/>
              <w:spacing w:before="40" w:after="40"/>
              <w:rPr>
                <w:lang w:val="en-US"/>
              </w:rPr>
            </w:pPr>
            <w:r>
              <w:rPr>
                <w:lang w:val="en-US"/>
              </w:rPr>
              <w:t xml:space="preserve">Existing FAC (excl. </w:t>
            </w:r>
            <w:r w:rsidRPr="009067EC">
              <w:rPr>
                <w:i/>
                <w:lang w:val="en-US"/>
              </w:rPr>
              <w:t>W</w:t>
            </w:r>
            <w:r w:rsidRPr="009067EC">
              <w:rPr>
                <w:vertAlign w:val="subscript"/>
                <w:lang w:val="en-US"/>
              </w:rPr>
              <w:t>air</w:t>
            </w:r>
            <w:r>
              <w:rPr>
                <w:lang w:val="en-US"/>
              </w:rPr>
              <w:t>)</w:t>
            </w:r>
          </w:p>
        </w:tc>
        <w:tc>
          <w:tcPr>
            <w:tcW w:w="1701" w:type="dxa"/>
            <w:vAlign w:val="center"/>
          </w:tcPr>
          <w:p w:rsidR="00CC4CBD" w:rsidRPr="009067EC" w:rsidRDefault="00465EDE" w:rsidP="00AF116F">
            <w:pPr>
              <w:keepNext/>
              <w:keepLines/>
              <w:spacing w:after="40"/>
              <w:jc w:val="center"/>
              <w:rPr>
                <w:lang w:val="en-US"/>
              </w:rPr>
            </w:pPr>
            <w:r>
              <w:rPr>
                <w:lang w:val="en-US"/>
              </w:rPr>
              <w:t>0.04</w:t>
            </w:r>
          </w:p>
        </w:tc>
        <w:tc>
          <w:tcPr>
            <w:tcW w:w="1701" w:type="dxa"/>
            <w:vAlign w:val="center"/>
          </w:tcPr>
          <w:p w:rsidR="00CC4CBD" w:rsidRPr="009067EC" w:rsidRDefault="009067EC" w:rsidP="00AF116F">
            <w:pPr>
              <w:keepNext/>
              <w:keepLines/>
              <w:spacing w:before="40" w:after="40"/>
              <w:jc w:val="center"/>
              <w:rPr>
                <w:lang w:val="en-US"/>
              </w:rPr>
            </w:pPr>
            <w:r w:rsidRPr="009067EC">
              <w:rPr>
                <w:lang w:val="en-US"/>
              </w:rPr>
              <w:t>0.1</w:t>
            </w:r>
            <w:r w:rsidR="005C7E55" w:rsidRPr="009067EC">
              <w:rPr>
                <w:lang w:val="en-US"/>
              </w:rPr>
              <w:t>2</w:t>
            </w:r>
          </w:p>
        </w:tc>
      </w:tr>
      <w:tr w:rsidR="00C73975" w:rsidRPr="009067EC" w:rsidTr="00910F09">
        <w:tc>
          <w:tcPr>
            <w:tcW w:w="2977" w:type="dxa"/>
            <w:vAlign w:val="center"/>
          </w:tcPr>
          <w:p w:rsidR="00C73975" w:rsidRPr="00220C3E" w:rsidRDefault="00C73975" w:rsidP="00AF116F">
            <w:pPr>
              <w:keepNext/>
              <w:keepLines/>
              <w:spacing w:before="40" w:after="40"/>
              <w:rPr>
                <w:lang w:val="en-US"/>
              </w:rPr>
            </w:pPr>
            <w:r w:rsidRPr="00220C3E">
              <w:rPr>
                <w:i/>
                <w:lang w:val="en-US"/>
              </w:rPr>
              <w:t>W</w:t>
            </w:r>
            <w:r w:rsidRPr="00220C3E">
              <w:rPr>
                <w:vertAlign w:val="subscript"/>
                <w:lang w:val="en-US"/>
              </w:rPr>
              <w:t>air</w:t>
            </w:r>
          </w:p>
        </w:tc>
        <w:tc>
          <w:tcPr>
            <w:tcW w:w="1701" w:type="dxa"/>
            <w:vAlign w:val="center"/>
          </w:tcPr>
          <w:p w:rsidR="00C73975" w:rsidRPr="00220C3E" w:rsidRDefault="00C73975" w:rsidP="00AF116F">
            <w:pPr>
              <w:keepNext/>
              <w:keepLines/>
              <w:spacing w:before="40" w:after="40"/>
              <w:jc w:val="center"/>
              <w:rPr>
                <w:lang w:val="en-US"/>
              </w:rPr>
            </w:pPr>
            <w:r>
              <w:rPr>
                <w:lang w:val="en-US"/>
              </w:rPr>
              <w:t>-</w:t>
            </w:r>
          </w:p>
        </w:tc>
        <w:tc>
          <w:tcPr>
            <w:tcW w:w="1701" w:type="dxa"/>
            <w:vAlign w:val="center"/>
          </w:tcPr>
          <w:p w:rsidR="00C73975" w:rsidRPr="00220C3E" w:rsidRDefault="00C73975" w:rsidP="00AF116F">
            <w:pPr>
              <w:keepNext/>
              <w:keepLines/>
              <w:spacing w:before="40" w:after="40"/>
              <w:jc w:val="center"/>
              <w:rPr>
                <w:lang w:val="en-US"/>
              </w:rPr>
            </w:pPr>
            <w:r w:rsidRPr="00220C3E">
              <w:rPr>
                <w:lang w:val="en-US"/>
              </w:rPr>
              <w:t>0.35</w:t>
            </w:r>
          </w:p>
        </w:tc>
      </w:tr>
      <w:tr w:rsidR="00C73975" w:rsidRPr="009067EC" w:rsidTr="00910F09">
        <w:tc>
          <w:tcPr>
            <w:tcW w:w="2977" w:type="dxa"/>
            <w:vAlign w:val="center"/>
          </w:tcPr>
          <w:p w:rsidR="00C73975" w:rsidRPr="00220C3E" w:rsidRDefault="009067EC" w:rsidP="00AF116F">
            <w:pPr>
              <w:keepNext/>
              <w:keepLines/>
              <w:spacing w:before="40" w:after="40"/>
              <w:rPr>
                <w:lang w:val="en-US"/>
              </w:rPr>
            </w:pPr>
            <w:proofErr w:type="spellStart"/>
            <w:r w:rsidRPr="008C4817">
              <w:rPr>
                <w:i/>
                <w:sz w:val="24"/>
                <w:szCs w:val="24"/>
                <w:lang w:val="en-US"/>
              </w:rPr>
              <w:t>k</w:t>
            </w:r>
            <w:r w:rsidRPr="008C4817">
              <w:rPr>
                <w:sz w:val="24"/>
                <w:szCs w:val="24"/>
                <w:vertAlign w:val="subscript"/>
                <w:lang w:val="en-US"/>
              </w:rPr>
              <w:t>ii</w:t>
            </w:r>
            <w:r w:rsidRPr="008C4817">
              <w:rPr>
                <w:i/>
                <w:sz w:val="24"/>
                <w:szCs w:val="24"/>
                <w:lang w:val="en-US"/>
              </w:rPr>
              <w:t>k</w:t>
            </w:r>
            <w:r w:rsidRPr="008C4817">
              <w:rPr>
                <w:sz w:val="24"/>
                <w:szCs w:val="24"/>
                <w:vertAlign w:val="subscript"/>
                <w:lang w:val="en-US"/>
              </w:rPr>
              <w:t>W</w:t>
            </w:r>
            <w:proofErr w:type="spellEnd"/>
          </w:p>
        </w:tc>
        <w:tc>
          <w:tcPr>
            <w:tcW w:w="1701" w:type="dxa"/>
            <w:vAlign w:val="center"/>
          </w:tcPr>
          <w:p w:rsidR="00C73975" w:rsidRPr="00220C3E" w:rsidRDefault="00C73975" w:rsidP="00AF116F">
            <w:pPr>
              <w:keepNext/>
              <w:keepLines/>
              <w:spacing w:before="40" w:after="40"/>
              <w:jc w:val="center"/>
              <w:rPr>
                <w:lang w:val="en-US"/>
              </w:rPr>
            </w:pPr>
            <w:r>
              <w:rPr>
                <w:lang w:val="en-US"/>
              </w:rPr>
              <w:t>-</w:t>
            </w:r>
          </w:p>
        </w:tc>
        <w:tc>
          <w:tcPr>
            <w:tcW w:w="1701" w:type="dxa"/>
            <w:vAlign w:val="center"/>
          </w:tcPr>
          <w:p w:rsidR="00C73975" w:rsidRPr="00220C3E" w:rsidRDefault="009067EC" w:rsidP="00AF116F">
            <w:pPr>
              <w:keepNext/>
              <w:keepLines/>
              <w:spacing w:before="40" w:after="40"/>
              <w:jc w:val="center"/>
              <w:rPr>
                <w:lang w:val="en-US"/>
              </w:rPr>
            </w:pPr>
            <w:r>
              <w:rPr>
                <w:lang w:val="en-US"/>
              </w:rPr>
              <w:t>0.05</w:t>
            </w:r>
          </w:p>
        </w:tc>
      </w:tr>
      <w:tr w:rsidR="00C73975" w:rsidRPr="009067EC" w:rsidTr="00910F09">
        <w:tc>
          <w:tcPr>
            <w:tcW w:w="2977" w:type="dxa"/>
            <w:vAlign w:val="center"/>
          </w:tcPr>
          <w:p w:rsidR="00C73975" w:rsidRPr="00220C3E" w:rsidRDefault="00C73975" w:rsidP="00AF116F">
            <w:pPr>
              <w:keepNext/>
              <w:keepLines/>
              <w:spacing w:before="40" w:after="40"/>
              <w:rPr>
                <w:i/>
                <w:lang w:val="en-US"/>
              </w:rPr>
            </w:pPr>
            <w:r>
              <w:rPr>
                <w:i/>
                <w:lang w:val="en-US"/>
              </w:rPr>
              <w:t>Conversion m</w:t>
            </w:r>
            <w:r w:rsidRPr="00220C3E">
              <w:rPr>
                <w:i/>
                <w:lang w:val="en-US"/>
              </w:rPr>
              <w:t>easurements</w:t>
            </w:r>
          </w:p>
        </w:tc>
        <w:tc>
          <w:tcPr>
            <w:tcW w:w="3402" w:type="dxa"/>
            <w:gridSpan w:val="2"/>
            <w:vAlign w:val="center"/>
          </w:tcPr>
          <w:p w:rsidR="00C73975" w:rsidRPr="00220C3E" w:rsidRDefault="00C73975" w:rsidP="00AF116F">
            <w:pPr>
              <w:keepNext/>
              <w:keepLines/>
              <w:spacing w:before="40" w:after="40"/>
              <w:jc w:val="center"/>
              <w:rPr>
                <w:lang w:val="en-US"/>
              </w:rPr>
            </w:pPr>
          </w:p>
        </w:tc>
      </w:tr>
      <w:tr w:rsidR="00C73975" w:rsidRPr="009067EC" w:rsidTr="00910F09">
        <w:tc>
          <w:tcPr>
            <w:tcW w:w="2977" w:type="dxa"/>
            <w:vAlign w:val="center"/>
          </w:tcPr>
          <w:p w:rsidR="00C73975" w:rsidRPr="00220C3E" w:rsidRDefault="00481AD5" w:rsidP="00AF116F">
            <w:pPr>
              <w:keepNext/>
              <w:keepLines/>
              <w:spacing w:before="40" w:after="40"/>
              <w:rPr>
                <w:lang w:val="en-US"/>
              </w:rPr>
            </w:pPr>
            <w:proofErr w:type="spellStart"/>
            <w:r>
              <w:rPr>
                <w:i/>
                <w:lang w:val="en-US"/>
              </w:rPr>
              <w:t>Q</w:t>
            </w:r>
            <w:r w:rsidR="00C73975" w:rsidRPr="00125A3C">
              <w:rPr>
                <w:vertAlign w:val="subscript"/>
                <w:lang w:val="en-US"/>
              </w:rPr>
              <w:t>w</w:t>
            </w:r>
            <w:proofErr w:type="spellEnd"/>
            <w:r w:rsidR="00C73975" w:rsidRPr="00220C3E">
              <w:rPr>
                <w:lang w:val="en-US"/>
              </w:rPr>
              <w:t>/</w:t>
            </w:r>
            <w:proofErr w:type="spellStart"/>
            <w:r>
              <w:rPr>
                <w:i/>
                <w:lang w:val="en-US"/>
              </w:rPr>
              <w:t>Q</w:t>
            </w:r>
            <w:r w:rsidR="00C73975" w:rsidRPr="00125A3C">
              <w:rPr>
                <w:vertAlign w:val="subscript"/>
                <w:lang w:val="en-US"/>
              </w:rPr>
              <w:t>air</w:t>
            </w:r>
            <w:proofErr w:type="spellEnd"/>
          </w:p>
        </w:tc>
        <w:tc>
          <w:tcPr>
            <w:tcW w:w="1701" w:type="dxa"/>
            <w:vAlign w:val="center"/>
          </w:tcPr>
          <w:p w:rsidR="00C73975" w:rsidRPr="00220C3E" w:rsidRDefault="00C73975" w:rsidP="00AF116F">
            <w:pPr>
              <w:keepNext/>
              <w:keepLines/>
              <w:spacing w:before="40" w:after="40"/>
              <w:jc w:val="center"/>
              <w:rPr>
                <w:lang w:val="en-US"/>
              </w:rPr>
            </w:pPr>
            <w:r>
              <w:rPr>
                <w:lang w:val="en-US"/>
              </w:rPr>
              <w:t>0.06</w:t>
            </w:r>
          </w:p>
        </w:tc>
        <w:tc>
          <w:tcPr>
            <w:tcW w:w="1701" w:type="dxa"/>
            <w:vAlign w:val="center"/>
          </w:tcPr>
          <w:p w:rsidR="00C73975" w:rsidRPr="00220C3E" w:rsidRDefault="00C73975" w:rsidP="00AF116F">
            <w:pPr>
              <w:keepNext/>
              <w:keepLines/>
              <w:spacing w:before="40" w:after="40"/>
              <w:jc w:val="center"/>
              <w:rPr>
                <w:lang w:val="en-US"/>
              </w:rPr>
            </w:pPr>
            <w:r>
              <w:rPr>
                <w:lang w:val="en-US"/>
              </w:rPr>
              <w:t>-</w:t>
            </w:r>
          </w:p>
        </w:tc>
      </w:tr>
      <w:tr w:rsidR="00C73975" w:rsidRPr="009067EC" w:rsidTr="00910F09">
        <w:tc>
          <w:tcPr>
            <w:tcW w:w="2977" w:type="dxa"/>
            <w:vAlign w:val="center"/>
          </w:tcPr>
          <w:p w:rsidR="00C73975" w:rsidRPr="00220C3E" w:rsidRDefault="00C73975" w:rsidP="00AF116F">
            <w:pPr>
              <w:keepNext/>
              <w:keepLines/>
              <w:spacing w:before="40" w:after="40"/>
              <w:rPr>
                <w:lang w:val="en-US"/>
              </w:rPr>
            </w:pPr>
            <w:proofErr w:type="spellStart"/>
            <w:r w:rsidRPr="00175268">
              <w:rPr>
                <w:i/>
                <w:lang w:val="en-US"/>
              </w:rPr>
              <w:t>k</w:t>
            </w:r>
            <w:r w:rsidRPr="00175268">
              <w:rPr>
                <w:vertAlign w:val="subscript"/>
                <w:lang w:val="en-US"/>
              </w:rPr>
              <w:t>rn</w:t>
            </w:r>
            <w:proofErr w:type="spellEnd"/>
          </w:p>
        </w:tc>
        <w:tc>
          <w:tcPr>
            <w:tcW w:w="1701" w:type="dxa"/>
            <w:vAlign w:val="center"/>
          </w:tcPr>
          <w:p w:rsidR="00C73975" w:rsidRPr="00220C3E" w:rsidRDefault="00C73975" w:rsidP="00AF116F">
            <w:pPr>
              <w:keepNext/>
              <w:keepLines/>
              <w:spacing w:before="40" w:after="40"/>
              <w:jc w:val="center"/>
              <w:rPr>
                <w:lang w:val="en-US"/>
              </w:rPr>
            </w:pPr>
            <w:r>
              <w:rPr>
                <w:lang w:val="en-US"/>
              </w:rPr>
              <w:t>-</w:t>
            </w:r>
          </w:p>
        </w:tc>
        <w:tc>
          <w:tcPr>
            <w:tcW w:w="1701" w:type="dxa"/>
            <w:vAlign w:val="center"/>
          </w:tcPr>
          <w:p w:rsidR="00C73975" w:rsidRPr="00220C3E" w:rsidRDefault="00C73975" w:rsidP="00AF116F">
            <w:pPr>
              <w:keepNext/>
              <w:keepLines/>
              <w:spacing w:before="40" w:after="40"/>
              <w:jc w:val="center"/>
              <w:rPr>
                <w:lang w:val="en-US"/>
              </w:rPr>
            </w:pPr>
            <w:r>
              <w:rPr>
                <w:lang w:val="en-US"/>
              </w:rPr>
              <w:t>0.03</w:t>
            </w:r>
          </w:p>
        </w:tc>
      </w:tr>
      <w:tr w:rsidR="00C73975" w:rsidTr="00910F09">
        <w:tc>
          <w:tcPr>
            <w:tcW w:w="2977" w:type="dxa"/>
            <w:vAlign w:val="center"/>
          </w:tcPr>
          <w:p w:rsidR="00C73975" w:rsidRPr="00220C3E" w:rsidRDefault="00C73975" w:rsidP="00AF116F">
            <w:pPr>
              <w:keepNext/>
              <w:keepLines/>
              <w:spacing w:before="40" w:after="40"/>
              <w:rPr>
                <w:i/>
                <w:lang w:val="en-US"/>
              </w:rPr>
            </w:pPr>
            <w:r w:rsidRPr="00220C3E">
              <w:rPr>
                <w:i/>
                <w:lang w:val="en-US"/>
              </w:rPr>
              <w:t>C</w:t>
            </w:r>
            <w:r>
              <w:rPr>
                <w:i/>
                <w:lang w:val="en-US"/>
              </w:rPr>
              <w:t>onversion c</w:t>
            </w:r>
            <w:r w:rsidRPr="00220C3E">
              <w:rPr>
                <w:i/>
                <w:lang w:val="en-US"/>
              </w:rPr>
              <w:t>alculations</w:t>
            </w:r>
          </w:p>
        </w:tc>
        <w:tc>
          <w:tcPr>
            <w:tcW w:w="3402" w:type="dxa"/>
            <w:gridSpan w:val="2"/>
            <w:vAlign w:val="center"/>
          </w:tcPr>
          <w:p w:rsidR="00C73975" w:rsidRPr="00220C3E" w:rsidRDefault="00C73975" w:rsidP="00AF116F">
            <w:pPr>
              <w:keepNext/>
              <w:keepLines/>
              <w:spacing w:before="40" w:after="40"/>
              <w:jc w:val="center"/>
              <w:rPr>
                <w:lang w:val="en-US"/>
              </w:rPr>
            </w:pPr>
          </w:p>
        </w:tc>
      </w:tr>
      <w:tr w:rsidR="00C73975" w:rsidTr="00910F09">
        <w:tc>
          <w:tcPr>
            <w:tcW w:w="2977" w:type="dxa"/>
            <w:vAlign w:val="center"/>
          </w:tcPr>
          <w:p w:rsidR="00C73975" w:rsidRPr="00220C3E" w:rsidRDefault="00C73975" w:rsidP="00AF116F">
            <w:pPr>
              <w:keepNext/>
              <w:keepLines/>
              <w:spacing w:before="40" w:after="40"/>
              <w:rPr>
                <w:lang w:val="en-US"/>
              </w:rPr>
            </w:pPr>
            <w:r w:rsidRPr="003516BB">
              <w:rPr>
                <w:lang w:val="en-US"/>
              </w:rPr>
              <w:t xml:space="preserve">Statistical component of </w:t>
            </w:r>
            <w:r w:rsidRPr="00A372BC">
              <w:rPr>
                <w:i/>
                <w:lang w:val="en-US"/>
              </w:rPr>
              <w:t>C</w:t>
            </w:r>
            <w:r w:rsidR="006A73F8">
              <w:rPr>
                <w:vertAlign w:val="subscript"/>
                <w:lang w:val="en-US"/>
              </w:rPr>
              <w:t>MC</w:t>
            </w:r>
          </w:p>
        </w:tc>
        <w:tc>
          <w:tcPr>
            <w:tcW w:w="1701" w:type="dxa"/>
            <w:vAlign w:val="center"/>
          </w:tcPr>
          <w:p w:rsidR="00C73975" w:rsidRPr="00220C3E" w:rsidRDefault="00047F4B" w:rsidP="00AF116F">
            <w:pPr>
              <w:keepNext/>
              <w:keepLines/>
              <w:spacing w:before="40" w:after="40"/>
              <w:jc w:val="center"/>
              <w:rPr>
                <w:lang w:val="en-US"/>
              </w:rPr>
            </w:pPr>
            <w:r>
              <w:rPr>
                <w:lang w:val="en-US"/>
              </w:rPr>
              <w:t>0.12</w:t>
            </w:r>
          </w:p>
        </w:tc>
        <w:tc>
          <w:tcPr>
            <w:tcW w:w="1701" w:type="dxa"/>
            <w:vAlign w:val="center"/>
          </w:tcPr>
          <w:p w:rsidR="00C73975" w:rsidRPr="00220C3E" w:rsidRDefault="00C73975" w:rsidP="00AF116F">
            <w:pPr>
              <w:keepNext/>
              <w:keepLines/>
              <w:spacing w:before="40" w:after="40"/>
              <w:jc w:val="center"/>
              <w:rPr>
                <w:lang w:val="en-US"/>
              </w:rPr>
            </w:pPr>
            <w:r>
              <w:rPr>
                <w:lang w:val="en-US"/>
              </w:rPr>
              <w:t>-</w:t>
            </w:r>
          </w:p>
        </w:tc>
      </w:tr>
      <w:tr w:rsidR="00C73975" w:rsidTr="00910F09">
        <w:tc>
          <w:tcPr>
            <w:tcW w:w="2977" w:type="dxa"/>
            <w:vAlign w:val="center"/>
          </w:tcPr>
          <w:p w:rsidR="00C73975" w:rsidRPr="00220C3E" w:rsidRDefault="00C73975" w:rsidP="00AF116F">
            <w:pPr>
              <w:keepNext/>
              <w:keepLines/>
              <w:spacing w:before="40" w:after="40"/>
              <w:rPr>
                <w:lang w:val="en-US"/>
              </w:rPr>
            </w:pPr>
            <w:r w:rsidRPr="00220C3E">
              <w:rPr>
                <w:lang w:val="en-US"/>
              </w:rPr>
              <w:t>Data f</w:t>
            </w:r>
            <w:r w:rsidRPr="006B3152">
              <w:rPr>
                <w:lang w:val="en-US"/>
              </w:rPr>
              <w:t>or (</w:t>
            </w:r>
            <w:r w:rsidRPr="006B3152">
              <w:rPr>
                <w:i/>
                <w:lang w:val="en-US"/>
              </w:rPr>
              <w:t>µ</w:t>
            </w:r>
            <w:proofErr w:type="spellStart"/>
            <w:r w:rsidRPr="006B3152">
              <w:rPr>
                <w:vertAlign w:val="subscript"/>
                <w:lang w:val="en-US"/>
              </w:rPr>
              <w:t>en</w:t>
            </w:r>
            <w:proofErr w:type="spellEnd"/>
            <w:r w:rsidRPr="006B3152">
              <w:rPr>
                <w:lang w:val="en-US"/>
              </w:rPr>
              <w:t>/</w:t>
            </w:r>
            <w:r w:rsidRPr="006B3152">
              <w:rPr>
                <w:rFonts w:ascii="Symbol" w:hAnsi="Symbol"/>
                <w:i/>
                <w:lang w:val="en-US"/>
              </w:rPr>
              <w:t></w:t>
            </w:r>
            <w:r w:rsidRPr="006B3152">
              <w:rPr>
                <w:lang w:val="en-US"/>
              </w:rPr>
              <w:t>)</w:t>
            </w:r>
            <w:proofErr w:type="spellStart"/>
            <w:r w:rsidRPr="006B3152">
              <w:rPr>
                <w:vertAlign w:val="subscript"/>
                <w:lang w:val="en-US"/>
              </w:rPr>
              <w:t>w,air</w:t>
            </w:r>
            <w:proofErr w:type="spellEnd"/>
          </w:p>
        </w:tc>
        <w:tc>
          <w:tcPr>
            <w:tcW w:w="1701" w:type="dxa"/>
            <w:vAlign w:val="center"/>
          </w:tcPr>
          <w:p w:rsidR="00C73975" w:rsidRPr="00220C3E" w:rsidRDefault="00C73975" w:rsidP="00AF116F">
            <w:pPr>
              <w:keepNext/>
              <w:keepLines/>
              <w:spacing w:before="40" w:after="40"/>
              <w:jc w:val="center"/>
              <w:rPr>
                <w:lang w:val="en-US"/>
              </w:rPr>
            </w:pPr>
            <w:r>
              <w:rPr>
                <w:lang w:val="en-US"/>
              </w:rPr>
              <w:t>-</w:t>
            </w:r>
          </w:p>
        </w:tc>
        <w:tc>
          <w:tcPr>
            <w:tcW w:w="1701" w:type="dxa"/>
            <w:vAlign w:val="center"/>
          </w:tcPr>
          <w:p w:rsidR="00C73975" w:rsidRPr="00220C3E" w:rsidRDefault="00C73975" w:rsidP="00AF116F">
            <w:pPr>
              <w:keepNext/>
              <w:keepLines/>
              <w:spacing w:before="40" w:after="40"/>
              <w:jc w:val="center"/>
              <w:rPr>
                <w:lang w:val="en-US"/>
              </w:rPr>
            </w:pPr>
            <w:r w:rsidRPr="00220C3E">
              <w:rPr>
                <w:lang w:val="en-US"/>
              </w:rPr>
              <w:t>0.25</w:t>
            </w:r>
          </w:p>
        </w:tc>
      </w:tr>
      <w:tr w:rsidR="00C73975" w:rsidTr="00910F09">
        <w:tc>
          <w:tcPr>
            <w:tcW w:w="2977" w:type="dxa"/>
            <w:vAlign w:val="center"/>
          </w:tcPr>
          <w:p w:rsidR="00C73975" w:rsidRPr="00220C3E" w:rsidRDefault="00C73975" w:rsidP="00AF116F">
            <w:pPr>
              <w:keepNext/>
              <w:keepLines/>
              <w:spacing w:before="40" w:after="40"/>
              <w:rPr>
                <w:lang w:val="en-US"/>
              </w:rPr>
            </w:pPr>
            <w:r w:rsidRPr="00220C3E">
              <w:rPr>
                <w:lang w:val="en-US"/>
              </w:rPr>
              <w:t>Electron transport</w:t>
            </w:r>
          </w:p>
        </w:tc>
        <w:tc>
          <w:tcPr>
            <w:tcW w:w="1701" w:type="dxa"/>
            <w:vAlign w:val="center"/>
          </w:tcPr>
          <w:p w:rsidR="00C73975" w:rsidRPr="00220C3E" w:rsidRDefault="00C73975" w:rsidP="00AF116F">
            <w:pPr>
              <w:keepNext/>
              <w:keepLines/>
              <w:spacing w:before="40" w:after="40"/>
              <w:jc w:val="center"/>
              <w:rPr>
                <w:lang w:val="en-US"/>
              </w:rPr>
            </w:pPr>
            <w:r>
              <w:rPr>
                <w:lang w:val="en-US"/>
              </w:rPr>
              <w:t>-</w:t>
            </w:r>
          </w:p>
        </w:tc>
        <w:tc>
          <w:tcPr>
            <w:tcW w:w="1701" w:type="dxa"/>
            <w:vAlign w:val="center"/>
          </w:tcPr>
          <w:p w:rsidR="00C73975" w:rsidRPr="00220C3E" w:rsidRDefault="00C73975" w:rsidP="00AF116F">
            <w:pPr>
              <w:keepNext/>
              <w:keepLines/>
              <w:spacing w:before="40" w:after="40"/>
              <w:jc w:val="center"/>
              <w:rPr>
                <w:lang w:val="en-US"/>
              </w:rPr>
            </w:pPr>
            <w:r w:rsidRPr="00220C3E">
              <w:rPr>
                <w:lang w:val="en-US"/>
              </w:rPr>
              <w:t>0.10</w:t>
            </w:r>
          </w:p>
        </w:tc>
      </w:tr>
      <w:tr w:rsidR="00C73975" w:rsidTr="00910F09">
        <w:tc>
          <w:tcPr>
            <w:tcW w:w="2977" w:type="dxa"/>
            <w:vAlign w:val="center"/>
          </w:tcPr>
          <w:p w:rsidR="00C73975" w:rsidRPr="00220C3E" w:rsidRDefault="00C73975" w:rsidP="00AF116F">
            <w:pPr>
              <w:keepNext/>
              <w:keepLines/>
              <w:spacing w:before="40" w:after="40"/>
              <w:rPr>
                <w:lang w:val="en-US"/>
              </w:rPr>
            </w:pPr>
            <w:r w:rsidRPr="00220C3E">
              <w:rPr>
                <w:lang w:val="en-US"/>
              </w:rPr>
              <w:t>Chamber geometry</w:t>
            </w:r>
          </w:p>
        </w:tc>
        <w:tc>
          <w:tcPr>
            <w:tcW w:w="1701" w:type="dxa"/>
            <w:vAlign w:val="center"/>
          </w:tcPr>
          <w:p w:rsidR="00C73975" w:rsidRPr="00220C3E" w:rsidRDefault="00C73975" w:rsidP="00AF116F">
            <w:pPr>
              <w:keepNext/>
              <w:keepLines/>
              <w:spacing w:before="40" w:after="40"/>
              <w:jc w:val="center"/>
              <w:rPr>
                <w:lang w:val="en-US"/>
              </w:rPr>
            </w:pPr>
            <w:r>
              <w:rPr>
                <w:lang w:val="en-US"/>
              </w:rPr>
              <w:t>-</w:t>
            </w:r>
          </w:p>
        </w:tc>
        <w:tc>
          <w:tcPr>
            <w:tcW w:w="1701" w:type="dxa"/>
            <w:vAlign w:val="center"/>
          </w:tcPr>
          <w:p w:rsidR="00C73975" w:rsidRPr="00220C3E" w:rsidRDefault="00C73975" w:rsidP="00AF116F">
            <w:pPr>
              <w:keepNext/>
              <w:keepLines/>
              <w:spacing w:before="40" w:after="40"/>
              <w:jc w:val="center"/>
              <w:rPr>
                <w:lang w:val="en-US"/>
              </w:rPr>
            </w:pPr>
            <w:r w:rsidRPr="003516BB">
              <w:rPr>
                <w:lang w:val="en-US"/>
              </w:rPr>
              <w:t>0.25</w:t>
            </w:r>
          </w:p>
        </w:tc>
      </w:tr>
      <w:tr w:rsidR="00C73975" w:rsidTr="00910F09">
        <w:tc>
          <w:tcPr>
            <w:tcW w:w="2977" w:type="dxa"/>
            <w:vAlign w:val="center"/>
          </w:tcPr>
          <w:p w:rsidR="00C73975" w:rsidRPr="00220C3E" w:rsidRDefault="00C73975" w:rsidP="00AF116F">
            <w:pPr>
              <w:keepNext/>
              <w:keepLines/>
              <w:spacing w:before="40" w:after="40"/>
              <w:rPr>
                <w:lang w:val="en-US"/>
              </w:rPr>
            </w:pPr>
            <w:r>
              <w:rPr>
                <w:lang w:val="en-US"/>
              </w:rPr>
              <w:t>Incident s</w:t>
            </w:r>
            <w:r w:rsidRPr="00220C3E">
              <w:rPr>
                <w:lang w:val="en-US"/>
              </w:rPr>
              <w:t>pectra</w:t>
            </w:r>
          </w:p>
        </w:tc>
        <w:tc>
          <w:tcPr>
            <w:tcW w:w="1701" w:type="dxa"/>
            <w:vAlign w:val="center"/>
          </w:tcPr>
          <w:p w:rsidR="00C73975" w:rsidRPr="00220C3E" w:rsidRDefault="00C73975" w:rsidP="00AF116F">
            <w:pPr>
              <w:keepNext/>
              <w:keepLines/>
              <w:spacing w:before="40" w:after="40"/>
              <w:jc w:val="center"/>
              <w:rPr>
                <w:lang w:val="en-US"/>
              </w:rPr>
            </w:pPr>
            <w:r>
              <w:rPr>
                <w:lang w:val="en-US"/>
              </w:rPr>
              <w:t>-</w:t>
            </w:r>
          </w:p>
        </w:tc>
        <w:tc>
          <w:tcPr>
            <w:tcW w:w="1701" w:type="dxa"/>
            <w:vAlign w:val="center"/>
          </w:tcPr>
          <w:p w:rsidR="00C73975" w:rsidRPr="00220C3E" w:rsidRDefault="00C73975" w:rsidP="00AF116F">
            <w:pPr>
              <w:keepNext/>
              <w:keepLines/>
              <w:spacing w:before="40" w:after="40"/>
              <w:jc w:val="center"/>
              <w:rPr>
                <w:lang w:val="en-US"/>
              </w:rPr>
            </w:pPr>
            <w:r w:rsidRPr="00220C3E">
              <w:rPr>
                <w:lang w:val="en-US"/>
              </w:rPr>
              <w:t>0.1</w:t>
            </w:r>
            <w:r>
              <w:rPr>
                <w:lang w:val="en-US"/>
              </w:rPr>
              <w:t>5</w:t>
            </w:r>
          </w:p>
        </w:tc>
      </w:tr>
      <w:tr w:rsidR="00C73975" w:rsidTr="00910F09">
        <w:tc>
          <w:tcPr>
            <w:tcW w:w="2977" w:type="dxa"/>
            <w:vMerge w:val="restart"/>
            <w:vAlign w:val="center"/>
          </w:tcPr>
          <w:p w:rsidR="00C73975" w:rsidRPr="004F7BE3" w:rsidRDefault="00C73975" w:rsidP="00AF116F">
            <w:pPr>
              <w:keepNext/>
              <w:keepLines/>
              <w:spacing w:before="40" w:after="40"/>
              <w:rPr>
                <w:b/>
                <w:i/>
                <w:lang w:val="en-US"/>
              </w:rPr>
            </w:pPr>
            <w:r w:rsidRPr="004F7BE3">
              <w:rPr>
                <w:b/>
                <w:i/>
                <w:lang w:val="en-US"/>
              </w:rPr>
              <w:t>Combined standard</w:t>
            </w:r>
          </w:p>
          <w:p w:rsidR="00C73975" w:rsidRPr="00125A3C" w:rsidRDefault="00C73975" w:rsidP="00AF116F">
            <w:pPr>
              <w:keepNext/>
              <w:keepLines/>
              <w:spacing w:before="40" w:after="40"/>
              <w:rPr>
                <w:b/>
                <w:lang w:val="en-US"/>
              </w:rPr>
            </w:pPr>
            <w:r w:rsidRPr="004F7BE3">
              <w:rPr>
                <w:b/>
                <w:i/>
                <w:lang w:val="en-US"/>
              </w:rPr>
              <w:t>uncertainty</w:t>
            </w:r>
          </w:p>
        </w:tc>
        <w:tc>
          <w:tcPr>
            <w:tcW w:w="1701" w:type="dxa"/>
            <w:vAlign w:val="center"/>
          </w:tcPr>
          <w:p w:rsidR="00C73975" w:rsidRPr="00125A3C" w:rsidRDefault="009067EC" w:rsidP="00AF116F">
            <w:pPr>
              <w:keepNext/>
              <w:keepLines/>
              <w:spacing w:before="40" w:after="40"/>
              <w:jc w:val="center"/>
              <w:rPr>
                <w:b/>
                <w:lang w:val="en-US"/>
              </w:rPr>
            </w:pPr>
            <w:r>
              <w:rPr>
                <w:b/>
                <w:lang w:val="en-US"/>
              </w:rPr>
              <w:t>0.14</w:t>
            </w:r>
          </w:p>
        </w:tc>
        <w:tc>
          <w:tcPr>
            <w:tcW w:w="1701" w:type="dxa"/>
            <w:vAlign w:val="center"/>
          </w:tcPr>
          <w:p w:rsidR="00C73975" w:rsidRPr="00125A3C" w:rsidRDefault="00C73975" w:rsidP="00AF116F">
            <w:pPr>
              <w:keepNext/>
              <w:keepLines/>
              <w:spacing w:before="40" w:after="40"/>
              <w:jc w:val="center"/>
              <w:rPr>
                <w:b/>
                <w:lang w:val="en-US"/>
              </w:rPr>
            </w:pPr>
            <w:r>
              <w:rPr>
                <w:b/>
                <w:lang w:val="en-US"/>
              </w:rPr>
              <w:t>0.55</w:t>
            </w:r>
          </w:p>
        </w:tc>
      </w:tr>
      <w:tr w:rsidR="00C73975" w:rsidRPr="005F0159" w:rsidTr="00910F09">
        <w:tc>
          <w:tcPr>
            <w:tcW w:w="2977" w:type="dxa"/>
            <w:vMerge/>
            <w:vAlign w:val="center"/>
          </w:tcPr>
          <w:p w:rsidR="00C73975" w:rsidRPr="005F0159" w:rsidRDefault="00C73975" w:rsidP="00AF116F">
            <w:pPr>
              <w:keepNext/>
              <w:keepLines/>
              <w:spacing w:before="40" w:after="40"/>
              <w:rPr>
                <w:lang w:val="en-US"/>
              </w:rPr>
            </w:pPr>
          </w:p>
        </w:tc>
        <w:tc>
          <w:tcPr>
            <w:tcW w:w="3402" w:type="dxa"/>
            <w:gridSpan w:val="2"/>
            <w:vAlign w:val="center"/>
          </w:tcPr>
          <w:p w:rsidR="00C73975" w:rsidRPr="000E211C" w:rsidRDefault="000E211C" w:rsidP="00AF116F">
            <w:pPr>
              <w:keepNext/>
              <w:keepLines/>
              <w:spacing w:before="40" w:after="40"/>
              <w:jc w:val="center"/>
              <w:rPr>
                <w:b/>
                <w:lang w:val="en-US"/>
              </w:rPr>
            </w:pPr>
            <w:r w:rsidRPr="000E211C">
              <w:rPr>
                <w:rFonts w:ascii="Symbol" w:hAnsi="Symbol"/>
                <w:b/>
                <w:i/>
                <w:lang w:val="en-US"/>
              </w:rPr>
              <w:t></w:t>
            </w:r>
            <w:r w:rsidRPr="000E211C">
              <w:rPr>
                <w:b/>
                <w:vertAlign w:val="subscript"/>
                <w:lang w:val="en-US"/>
              </w:rPr>
              <w:t>c</w:t>
            </w:r>
            <w:r w:rsidRPr="000E211C">
              <w:rPr>
                <w:b/>
                <w:lang w:val="en-US"/>
              </w:rPr>
              <w:t xml:space="preserve"> = </w:t>
            </w:r>
            <w:r w:rsidR="00C73975" w:rsidRPr="000E211C">
              <w:rPr>
                <w:b/>
                <w:lang w:val="en-US"/>
              </w:rPr>
              <w:t>0.56</w:t>
            </w:r>
          </w:p>
        </w:tc>
      </w:tr>
    </w:tbl>
    <w:p w:rsidR="008B10CB" w:rsidRDefault="008B10CB" w:rsidP="008B10CB">
      <w:pPr>
        <w:spacing w:after="0"/>
        <w:rPr>
          <w:sz w:val="24"/>
          <w:szCs w:val="24"/>
          <w:lang w:val="en-US"/>
        </w:rPr>
      </w:pPr>
    </w:p>
    <w:p w:rsidR="00A423F8" w:rsidRPr="008C4817" w:rsidRDefault="008C4817" w:rsidP="000E211C">
      <w:pPr>
        <w:spacing w:after="60"/>
        <w:rPr>
          <w:i/>
          <w:sz w:val="24"/>
          <w:szCs w:val="24"/>
          <w:lang w:val="en-US"/>
        </w:rPr>
      </w:pPr>
      <w:proofErr w:type="gramStart"/>
      <w:r w:rsidRPr="008C4817">
        <w:rPr>
          <w:i/>
          <w:sz w:val="24"/>
          <w:szCs w:val="24"/>
          <w:lang w:val="en-US"/>
        </w:rPr>
        <w:t xml:space="preserve">5.2  </w:t>
      </w:r>
      <w:r w:rsidR="00A423F8" w:rsidRPr="008C4817">
        <w:rPr>
          <w:i/>
          <w:sz w:val="24"/>
          <w:szCs w:val="24"/>
          <w:lang w:val="en-US"/>
        </w:rPr>
        <w:t>Electron</w:t>
      </w:r>
      <w:proofErr w:type="gramEnd"/>
      <w:r w:rsidR="00A423F8" w:rsidRPr="008C4817">
        <w:rPr>
          <w:i/>
          <w:sz w:val="24"/>
          <w:szCs w:val="24"/>
          <w:lang w:val="en-US"/>
        </w:rPr>
        <w:t xml:space="preserve"> transport</w:t>
      </w:r>
    </w:p>
    <w:p w:rsidR="0049301E" w:rsidRDefault="00A423F8">
      <w:pPr>
        <w:rPr>
          <w:sz w:val="24"/>
          <w:szCs w:val="24"/>
          <w:lang w:val="en-US"/>
        </w:rPr>
      </w:pPr>
      <w:r>
        <w:rPr>
          <w:sz w:val="24"/>
          <w:szCs w:val="24"/>
          <w:lang w:val="en-US"/>
        </w:rPr>
        <w:t xml:space="preserve">The choice of electron transport parameters influences only the cavity dose ratio </w:t>
      </w:r>
      <w:proofErr w:type="spellStart"/>
      <w:r w:rsidR="00F913D0" w:rsidRPr="00A3314F">
        <w:rPr>
          <w:i/>
          <w:sz w:val="24"/>
          <w:szCs w:val="24"/>
          <w:lang w:val="en-US"/>
        </w:rPr>
        <w:t>D</w:t>
      </w:r>
      <w:r w:rsidR="00F913D0" w:rsidRPr="00A3314F">
        <w:rPr>
          <w:sz w:val="24"/>
          <w:szCs w:val="24"/>
          <w:vertAlign w:val="subscript"/>
          <w:lang w:val="en-US"/>
        </w:rPr>
        <w:t>cav</w:t>
      </w:r>
      <w:proofErr w:type="gramStart"/>
      <w:r w:rsidR="00F913D0" w:rsidRPr="00A3314F">
        <w:rPr>
          <w:sz w:val="24"/>
          <w:szCs w:val="24"/>
          <w:vertAlign w:val="subscript"/>
          <w:lang w:val="en-US"/>
        </w:rPr>
        <w:t>,</w:t>
      </w:r>
      <w:r w:rsidR="00F913D0">
        <w:rPr>
          <w:sz w:val="24"/>
          <w:szCs w:val="24"/>
          <w:vertAlign w:val="subscript"/>
          <w:lang w:val="en-US"/>
        </w:rPr>
        <w:t>w</w:t>
      </w:r>
      <w:proofErr w:type="spellEnd"/>
      <w:proofErr w:type="gramEnd"/>
      <w:r w:rsidR="00F913D0">
        <w:rPr>
          <w:sz w:val="24"/>
          <w:szCs w:val="24"/>
          <w:lang w:val="en-US"/>
        </w:rPr>
        <w:t>/</w:t>
      </w:r>
      <w:proofErr w:type="spellStart"/>
      <w:r w:rsidR="00F913D0" w:rsidRPr="00873412">
        <w:rPr>
          <w:i/>
          <w:sz w:val="24"/>
          <w:szCs w:val="24"/>
          <w:lang w:val="en-US"/>
        </w:rPr>
        <w:t>D</w:t>
      </w:r>
      <w:r w:rsidR="00F913D0">
        <w:rPr>
          <w:sz w:val="24"/>
          <w:szCs w:val="24"/>
          <w:vertAlign w:val="subscript"/>
          <w:lang w:val="en-US"/>
        </w:rPr>
        <w:t>cav,air</w:t>
      </w:r>
      <w:proofErr w:type="spellEnd"/>
      <w:r>
        <w:rPr>
          <w:sz w:val="24"/>
          <w:szCs w:val="24"/>
          <w:lang w:val="en-US"/>
        </w:rPr>
        <w:t xml:space="preserve">. </w:t>
      </w:r>
      <w:r w:rsidR="00F913D0">
        <w:rPr>
          <w:sz w:val="24"/>
          <w:szCs w:val="24"/>
          <w:lang w:val="en-US"/>
        </w:rPr>
        <w:t xml:space="preserve">Previous work for </w:t>
      </w:r>
      <w:r w:rsidR="00F913D0" w:rsidRPr="00873412">
        <w:rPr>
          <w:sz w:val="24"/>
          <w:szCs w:val="24"/>
          <w:vertAlign w:val="superscript"/>
          <w:lang w:val="en-US"/>
        </w:rPr>
        <w:t>60</w:t>
      </w:r>
      <w:r w:rsidR="00F913D0">
        <w:rPr>
          <w:sz w:val="24"/>
          <w:szCs w:val="24"/>
          <w:lang w:val="en-US"/>
        </w:rPr>
        <w:t>Co (Burns 2006) showed calculations using the selected parameters to agree with an ‘exact’ calculation, that is, an extremely slow calculation simulating every electron interaction, to better than 0.1 %. The present application is less demanding because for a given t</w:t>
      </w:r>
      <w:r w:rsidR="00CC17F0">
        <w:rPr>
          <w:sz w:val="24"/>
          <w:szCs w:val="24"/>
          <w:lang w:val="en-US"/>
        </w:rPr>
        <w:t xml:space="preserve">ransfer chamber only the </w:t>
      </w:r>
      <w:r w:rsidR="00F913D0">
        <w:rPr>
          <w:sz w:val="24"/>
          <w:szCs w:val="24"/>
          <w:lang w:val="en-US"/>
        </w:rPr>
        <w:t xml:space="preserve">ratio </w:t>
      </w:r>
      <w:proofErr w:type="spellStart"/>
      <w:r w:rsidR="00F913D0" w:rsidRPr="00A3314F">
        <w:rPr>
          <w:i/>
          <w:sz w:val="24"/>
          <w:szCs w:val="24"/>
          <w:lang w:val="en-US"/>
        </w:rPr>
        <w:t>D</w:t>
      </w:r>
      <w:r w:rsidR="00F913D0" w:rsidRPr="00A3314F">
        <w:rPr>
          <w:sz w:val="24"/>
          <w:szCs w:val="24"/>
          <w:vertAlign w:val="subscript"/>
          <w:lang w:val="en-US"/>
        </w:rPr>
        <w:t>cav</w:t>
      </w:r>
      <w:proofErr w:type="gramStart"/>
      <w:r w:rsidR="00F913D0" w:rsidRPr="00A3314F">
        <w:rPr>
          <w:sz w:val="24"/>
          <w:szCs w:val="24"/>
          <w:vertAlign w:val="subscript"/>
          <w:lang w:val="en-US"/>
        </w:rPr>
        <w:t>,</w:t>
      </w:r>
      <w:r w:rsidR="00F913D0">
        <w:rPr>
          <w:sz w:val="24"/>
          <w:szCs w:val="24"/>
          <w:vertAlign w:val="subscript"/>
          <w:lang w:val="en-US"/>
        </w:rPr>
        <w:t>w</w:t>
      </w:r>
      <w:proofErr w:type="spellEnd"/>
      <w:proofErr w:type="gramEnd"/>
      <w:r w:rsidR="00F913D0">
        <w:rPr>
          <w:sz w:val="24"/>
          <w:szCs w:val="24"/>
          <w:lang w:val="en-US"/>
        </w:rPr>
        <w:t>/</w:t>
      </w:r>
      <w:proofErr w:type="spellStart"/>
      <w:r w:rsidR="00F913D0" w:rsidRPr="00873412">
        <w:rPr>
          <w:i/>
          <w:sz w:val="24"/>
          <w:szCs w:val="24"/>
          <w:lang w:val="en-US"/>
        </w:rPr>
        <w:t>D</w:t>
      </w:r>
      <w:r w:rsidR="00F913D0">
        <w:rPr>
          <w:sz w:val="24"/>
          <w:szCs w:val="24"/>
          <w:vertAlign w:val="subscript"/>
          <w:lang w:val="en-US"/>
        </w:rPr>
        <w:t>cav,air</w:t>
      </w:r>
      <w:proofErr w:type="spellEnd"/>
      <w:r w:rsidR="00A0497F">
        <w:rPr>
          <w:sz w:val="24"/>
          <w:szCs w:val="24"/>
          <w:lang w:val="en-US"/>
        </w:rPr>
        <w:t xml:space="preserve"> i</w:t>
      </w:r>
      <w:r w:rsidR="00F913D0">
        <w:rPr>
          <w:sz w:val="24"/>
          <w:szCs w:val="24"/>
          <w:lang w:val="en-US"/>
        </w:rPr>
        <w:t xml:space="preserve">s of interest and any deficiency in the calculation of </w:t>
      </w:r>
      <w:proofErr w:type="spellStart"/>
      <w:r w:rsidR="00F913D0" w:rsidRPr="00A3314F">
        <w:rPr>
          <w:i/>
          <w:sz w:val="24"/>
          <w:szCs w:val="24"/>
          <w:lang w:val="en-US"/>
        </w:rPr>
        <w:t>D</w:t>
      </w:r>
      <w:r w:rsidR="00F913D0" w:rsidRPr="00A3314F">
        <w:rPr>
          <w:sz w:val="24"/>
          <w:szCs w:val="24"/>
          <w:vertAlign w:val="subscript"/>
          <w:lang w:val="en-US"/>
        </w:rPr>
        <w:t>cav,</w:t>
      </w:r>
      <w:r w:rsidR="00F913D0">
        <w:rPr>
          <w:sz w:val="24"/>
          <w:szCs w:val="24"/>
          <w:vertAlign w:val="subscript"/>
          <w:lang w:val="en-US"/>
        </w:rPr>
        <w:t>w</w:t>
      </w:r>
      <w:proofErr w:type="spellEnd"/>
      <w:r w:rsidR="00F913D0">
        <w:rPr>
          <w:sz w:val="24"/>
          <w:szCs w:val="24"/>
          <w:lang w:val="en-US"/>
        </w:rPr>
        <w:t xml:space="preserve"> </w:t>
      </w:r>
      <w:r w:rsidR="003C3CD3">
        <w:rPr>
          <w:sz w:val="24"/>
          <w:szCs w:val="24"/>
          <w:lang w:val="en-US"/>
        </w:rPr>
        <w:t>will have a corresponding effect on</w:t>
      </w:r>
      <w:r w:rsidR="00F913D0">
        <w:rPr>
          <w:sz w:val="24"/>
          <w:szCs w:val="24"/>
          <w:lang w:val="en-US"/>
        </w:rPr>
        <w:t xml:space="preserve"> </w:t>
      </w:r>
      <w:proofErr w:type="spellStart"/>
      <w:r w:rsidR="00F913D0" w:rsidRPr="00873412">
        <w:rPr>
          <w:i/>
          <w:sz w:val="24"/>
          <w:szCs w:val="24"/>
          <w:lang w:val="en-US"/>
        </w:rPr>
        <w:t>D</w:t>
      </w:r>
      <w:r w:rsidR="00F913D0">
        <w:rPr>
          <w:sz w:val="24"/>
          <w:szCs w:val="24"/>
          <w:vertAlign w:val="subscript"/>
          <w:lang w:val="en-US"/>
        </w:rPr>
        <w:t>cav,air</w:t>
      </w:r>
      <w:proofErr w:type="spellEnd"/>
      <w:r w:rsidR="00F913D0">
        <w:rPr>
          <w:sz w:val="24"/>
          <w:szCs w:val="24"/>
          <w:lang w:val="en-US"/>
        </w:rPr>
        <w:t>. The resulting uncertainty of the ratio is likely to</w:t>
      </w:r>
      <w:r w:rsidR="005F0159">
        <w:rPr>
          <w:sz w:val="24"/>
          <w:szCs w:val="24"/>
          <w:lang w:val="en-US"/>
        </w:rPr>
        <w:t xml:space="preserve"> be well below</w:t>
      </w:r>
      <w:r w:rsidR="00F913D0">
        <w:rPr>
          <w:sz w:val="24"/>
          <w:szCs w:val="24"/>
          <w:lang w:val="en-US"/>
        </w:rPr>
        <w:t xml:space="preserve"> the</w:t>
      </w:r>
      <w:r w:rsidR="00047F4B">
        <w:rPr>
          <w:sz w:val="24"/>
          <w:szCs w:val="24"/>
          <w:lang w:val="en-US"/>
        </w:rPr>
        <w:t xml:space="preserve"> statistical uncertainty of 0.12</w:t>
      </w:r>
      <w:r w:rsidR="00F913D0">
        <w:rPr>
          <w:sz w:val="24"/>
          <w:szCs w:val="24"/>
          <w:lang w:val="en-US"/>
        </w:rPr>
        <w:t> %</w:t>
      </w:r>
      <w:r w:rsidR="005F0159">
        <w:rPr>
          <w:sz w:val="24"/>
          <w:szCs w:val="24"/>
          <w:lang w:val="en-US"/>
        </w:rPr>
        <w:t xml:space="preserve"> in </w:t>
      </w:r>
      <w:r w:rsidR="005F0159" w:rsidRPr="005F0159">
        <w:rPr>
          <w:i/>
          <w:sz w:val="24"/>
          <w:szCs w:val="24"/>
          <w:lang w:val="en-US"/>
        </w:rPr>
        <w:t>C</w:t>
      </w:r>
      <w:r w:rsidR="003C3CD3">
        <w:rPr>
          <w:sz w:val="24"/>
          <w:szCs w:val="24"/>
          <w:vertAlign w:val="subscript"/>
          <w:lang w:val="en-US"/>
        </w:rPr>
        <w:t>MC</w:t>
      </w:r>
      <w:r w:rsidR="00F913D0">
        <w:rPr>
          <w:sz w:val="24"/>
          <w:szCs w:val="24"/>
          <w:lang w:val="en-US"/>
        </w:rPr>
        <w:t xml:space="preserve">. </w:t>
      </w:r>
      <w:r w:rsidR="00CC17F0">
        <w:rPr>
          <w:sz w:val="24"/>
          <w:szCs w:val="24"/>
          <w:lang w:val="en-US"/>
        </w:rPr>
        <w:t>A</w:t>
      </w:r>
      <w:r w:rsidR="00F913D0">
        <w:rPr>
          <w:sz w:val="24"/>
          <w:szCs w:val="24"/>
          <w:lang w:val="en-US"/>
        </w:rPr>
        <w:t xml:space="preserve"> </w:t>
      </w:r>
      <w:r w:rsidR="00CC17F0">
        <w:rPr>
          <w:sz w:val="24"/>
          <w:szCs w:val="24"/>
          <w:lang w:val="en-US"/>
        </w:rPr>
        <w:t xml:space="preserve">conservative </w:t>
      </w:r>
      <w:r w:rsidR="00F913D0">
        <w:rPr>
          <w:sz w:val="24"/>
          <w:szCs w:val="24"/>
          <w:lang w:val="en-US"/>
        </w:rPr>
        <w:t>value of 0.1</w:t>
      </w:r>
      <w:r w:rsidR="006B3152">
        <w:rPr>
          <w:sz w:val="24"/>
          <w:szCs w:val="24"/>
          <w:lang w:val="en-US"/>
        </w:rPr>
        <w:t>0</w:t>
      </w:r>
      <w:r w:rsidR="00F913D0">
        <w:rPr>
          <w:sz w:val="24"/>
          <w:szCs w:val="24"/>
          <w:lang w:val="en-US"/>
        </w:rPr>
        <w:t> % is</w:t>
      </w:r>
      <w:r w:rsidR="00CC17F0">
        <w:rPr>
          <w:sz w:val="24"/>
          <w:szCs w:val="24"/>
          <w:lang w:val="en-US"/>
        </w:rPr>
        <w:t xml:space="preserve"> </w:t>
      </w:r>
      <w:r w:rsidR="006B3152">
        <w:rPr>
          <w:sz w:val="24"/>
          <w:szCs w:val="24"/>
          <w:lang w:val="en-US"/>
        </w:rPr>
        <w:t>included in Table 2</w:t>
      </w:r>
      <w:r w:rsidR="00F913D0">
        <w:rPr>
          <w:sz w:val="24"/>
          <w:szCs w:val="24"/>
          <w:lang w:val="en-US"/>
        </w:rPr>
        <w:t>.</w:t>
      </w:r>
    </w:p>
    <w:p w:rsidR="00F913D0" w:rsidRPr="008C4817" w:rsidRDefault="008C4817" w:rsidP="000E211C">
      <w:pPr>
        <w:spacing w:after="60"/>
        <w:rPr>
          <w:i/>
          <w:sz w:val="24"/>
          <w:szCs w:val="24"/>
          <w:lang w:val="en-US"/>
        </w:rPr>
      </w:pPr>
      <w:proofErr w:type="gramStart"/>
      <w:r w:rsidRPr="008C4817">
        <w:rPr>
          <w:i/>
          <w:sz w:val="24"/>
          <w:szCs w:val="24"/>
          <w:lang w:val="en-US"/>
        </w:rPr>
        <w:t xml:space="preserve">5.3  </w:t>
      </w:r>
      <w:r w:rsidR="004632CD" w:rsidRPr="008C4817">
        <w:rPr>
          <w:i/>
          <w:sz w:val="24"/>
          <w:szCs w:val="24"/>
          <w:lang w:val="en-US"/>
        </w:rPr>
        <w:t>Chamber</w:t>
      </w:r>
      <w:proofErr w:type="gramEnd"/>
      <w:r w:rsidR="004632CD" w:rsidRPr="008C4817">
        <w:rPr>
          <w:i/>
          <w:sz w:val="24"/>
          <w:szCs w:val="24"/>
          <w:lang w:val="en-US"/>
        </w:rPr>
        <w:t xml:space="preserve"> geometry</w:t>
      </w:r>
    </w:p>
    <w:p w:rsidR="003C3CD3" w:rsidRDefault="00C02666" w:rsidP="003C3CD3">
      <w:pPr>
        <w:rPr>
          <w:sz w:val="24"/>
          <w:szCs w:val="24"/>
          <w:lang w:val="en-US"/>
        </w:rPr>
      </w:pPr>
      <w:r>
        <w:rPr>
          <w:sz w:val="24"/>
          <w:szCs w:val="24"/>
          <w:lang w:val="en-US"/>
        </w:rPr>
        <w:t>More explicit information on the agreem</w:t>
      </w:r>
      <w:r w:rsidR="00A0497F">
        <w:rPr>
          <w:sz w:val="24"/>
          <w:szCs w:val="24"/>
          <w:lang w:val="en-US"/>
        </w:rPr>
        <w:t>ent between the measured charge</w:t>
      </w:r>
      <w:r>
        <w:rPr>
          <w:sz w:val="24"/>
          <w:szCs w:val="24"/>
          <w:lang w:val="en-US"/>
        </w:rPr>
        <w:t xml:space="preserve"> ratios </w:t>
      </w:r>
      <w:proofErr w:type="spellStart"/>
      <w:r w:rsidR="00A0497F">
        <w:rPr>
          <w:i/>
          <w:sz w:val="24"/>
          <w:szCs w:val="24"/>
          <w:lang w:val="en-US"/>
        </w:rPr>
        <w:t>Q</w:t>
      </w:r>
      <w:r w:rsidRPr="0049301E">
        <w:rPr>
          <w:sz w:val="24"/>
          <w:szCs w:val="24"/>
          <w:vertAlign w:val="subscript"/>
          <w:lang w:val="en-US"/>
        </w:rPr>
        <w:t>w</w:t>
      </w:r>
      <w:proofErr w:type="spellEnd"/>
      <w:r>
        <w:rPr>
          <w:sz w:val="24"/>
          <w:szCs w:val="24"/>
          <w:lang w:val="en-US"/>
        </w:rPr>
        <w:t>/</w:t>
      </w:r>
      <w:proofErr w:type="spellStart"/>
      <w:r w:rsidR="00A0497F">
        <w:rPr>
          <w:i/>
          <w:sz w:val="24"/>
          <w:szCs w:val="24"/>
          <w:lang w:val="en-US"/>
        </w:rPr>
        <w:t>Q</w:t>
      </w:r>
      <w:r w:rsidRPr="0049301E">
        <w:rPr>
          <w:sz w:val="24"/>
          <w:szCs w:val="24"/>
          <w:vertAlign w:val="subscript"/>
          <w:lang w:val="en-US"/>
        </w:rPr>
        <w:t>air</w:t>
      </w:r>
      <w:proofErr w:type="spellEnd"/>
      <w:r>
        <w:rPr>
          <w:sz w:val="24"/>
          <w:szCs w:val="24"/>
          <w:lang w:val="en-US"/>
        </w:rPr>
        <w:t xml:space="preserve"> and </w:t>
      </w:r>
      <w:r w:rsidR="00CC4CBD">
        <w:rPr>
          <w:sz w:val="24"/>
          <w:szCs w:val="24"/>
          <w:lang w:val="en-US"/>
        </w:rPr>
        <w:t xml:space="preserve">the </w:t>
      </w:r>
      <w:r>
        <w:rPr>
          <w:sz w:val="24"/>
          <w:szCs w:val="24"/>
          <w:lang w:val="en-US"/>
        </w:rPr>
        <w:t xml:space="preserve">calculated cavity dose ratios </w:t>
      </w:r>
      <w:proofErr w:type="spellStart"/>
      <w:r w:rsidRPr="00A3314F">
        <w:rPr>
          <w:i/>
          <w:sz w:val="24"/>
          <w:szCs w:val="24"/>
          <w:lang w:val="en-US"/>
        </w:rPr>
        <w:t>D</w:t>
      </w:r>
      <w:r w:rsidRPr="00A3314F">
        <w:rPr>
          <w:sz w:val="24"/>
          <w:szCs w:val="24"/>
          <w:vertAlign w:val="subscript"/>
          <w:lang w:val="en-US"/>
        </w:rPr>
        <w:t>cav,</w:t>
      </w:r>
      <w:r>
        <w:rPr>
          <w:sz w:val="24"/>
          <w:szCs w:val="24"/>
          <w:vertAlign w:val="subscript"/>
          <w:lang w:val="en-US"/>
        </w:rPr>
        <w:t>w</w:t>
      </w:r>
      <w:proofErr w:type="spellEnd"/>
      <w:r>
        <w:rPr>
          <w:sz w:val="24"/>
          <w:szCs w:val="24"/>
          <w:lang w:val="en-US"/>
        </w:rPr>
        <w:t>/</w:t>
      </w:r>
      <w:proofErr w:type="spellStart"/>
      <w:r w:rsidRPr="00873412">
        <w:rPr>
          <w:i/>
          <w:sz w:val="24"/>
          <w:szCs w:val="24"/>
          <w:lang w:val="en-US"/>
        </w:rPr>
        <w:t>D</w:t>
      </w:r>
      <w:r>
        <w:rPr>
          <w:sz w:val="24"/>
          <w:szCs w:val="24"/>
          <w:vertAlign w:val="subscript"/>
          <w:lang w:val="en-US"/>
        </w:rPr>
        <w:t>cav,air</w:t>
      </w:r>
      <w:proofErr w:type="spellEnd"/>
      <w:r w:rsidR="005F0159">
        <w:rPr>
          <w:sz w:val="24"/>
          <w:szCs w:val="24"/>
          <w:lang w:val="en-US"/>
        </w:rPr>
        <w:t xml:space="preserve"> is given in Table 3</w:t>
      </w:r>
      <w:r w:rsidR="009219FE">
        <w:rPr>
          <w:sz w:val="24"/>
          <w:szCs w:val="24"/>
          <w:lang w:val="en-US"/>
        </w:rPr>
        <w:t>, where the ratio measured-to-</w:t>
      </w:r>
      <w:r>
        <w:rPr>
          <w:sz w:val="24"/>
          <w:szCs w:val="24"/>
          <w:lang w:val="en-US"/>
        </w:rPr>
        <w:t xml:space="preserve">calculated is expressed as a correction factor </w:t>
      </w:r>
      <w:proofErr w:type="spellStart"/>
      <w:r w:rsidRPr="00C02666">
        <w:rPr>
          <w:i/>
          <w:sz w:val="24"/>
          <w:szCs w:val="24"/>
          <w:lang w:val="en-US"/>
        </w:rPr>
        <w:t>k</w:t>
      </w:r>
      <w:r w:rsidRPr="00C02666">
        <w:rPr>
          <w:sz w:val="24"/>
          <w:szCs w:val="24"/>
          <w:vertAlign w:val="subscript"/>
          <w:lang w:val="en-US"/>
        </w:rPr>
        <w:t>MC</w:t>
      </w:r>
      <w:proofErr w:type="spellEnd"/>
      <w:r>
        <w:rPr>
          <w:sz w:val="24"/>
          <w:szCs w:val="24"/>
          <w:lang w:val="en-US"/>
        </w:rPr>
        <w:t xml:space="preserve"> </w:t>
      </w:r>
      <w:r w:rsidR="003C3CD3">
        <w:rPr>
          <w:sz w:val="24"/>
          <w:szCs w:val="24"/>
          <w:lang w:val="en-US"/>
        </w:rPr>
        <w:t>. Equation (1) becomes</w:t>
      </w:r>
    </w:p>
    <w:p w:rsidR="003C3CD3" w:rsidRDefault="00E57104" w:rsidP="003C3CD3">
      <w:pPr>
        <w:spacing w:after="0"/>
        <w:rPr>
          <w:sz w:val="24"/>
          <w:szCs w:val="24"/>
          <w:lang w:val="en-US"/>
        </w:rPr>
      </w:pPr>
      <m:oMath>
        <m:f>
          <m:fPr>
            <m:ctrlPr>
              <w:rPr>
                <w:rFonts w:ascii="Cambria Math" w:hAnsi="Cambria Math"/>
                <w:i/>
                <w:lang w:val="en-US"/>
              </w:rPr>
            </m:ctrlPr>
          </m:fPr>
          <m:num>
            <m:sSub>
              <m:sSubPr>
                <m:ctrlPr>
                  <w:rPr>
                    <w:rFonts w:ascii="Cambria Math" w:hAnsi="Cambria Math"/>
                    <w:i/>
                  </w:rPr>
                </m:ctrlPr>
              </m:sSubPr>
              <m:e>
                <m:r>
                  <w:rPr>
                    <w:rFonts w:ascii="Cambria Math" w:hAnsi="Cambria Math"/>
                  </w:rPr>
                  <m:t>D</m:t>
                </m:r>
              </m:e>
              <m:sub>
                <m:r>
                  <m:rPr>
                    <m:sty m:val="p"/>
                  </m:rPr>
                  <w:rPr>
                    <w:rFonts w:ascii="Cambria Math" w:hAnsi="Cambria Math"/>
                    <w:lang w:val="en-US"/>
                  </w:rPr>
                  <m:t>w</m:t>
                </m:r>
              </m:sub>
            </m:sSub>
          </m:num>
          <m:den>
            <m:sSub>
              <m:sSubPr>
                <m:ctrlPr>
                  <w:rPr>
                    <w:rFonts w:ascii="Cambria Math" w:hAnsi="Cambria Math"/>
                    <w:i/>
                    <w:lang w:val="en-US"/>
                  </w:rPr>
                </m:ctrlPr>
              </m:sSubPr>
              <m:e>
                <m:r>
                  <w:rPr>
                    <w:rFonts w:ascii="Cambria Math" w:hAnsi="Cambria Math"/>
                    <w:lang w:val="en-US"/>
                  </w:rPr>
                  <m:t>K</m:t>
                </m:r>
              </m:e>
              <m:sub>
                <m:r>
                  <m:rPr>
                    <m:sty m:val="p"/>
                  </m:rPr>
                  <w:rPr>
                    <w:rFonts w:ascii="Cambria Math" w:hAnsi="Cambria Math"/>
                    <w:lang w:val="en-US"/>
                  </w:rPr>
                  <m:t>air</m:t>
                </m:r>
              </m:sub>
            </m:sSub>
          </m:den>
        </m:f>
        <m:r>
          <w:rPr>
            <w:rFonts w:ascii="Cambria Math" w:hAnsi="Cambria Math"/>
            <w:lang w:val="en-US"/>
          </w:rPr>
          <m:t>=  </m:t>
        </m:r>
        <m:sSub>
          <m:sSubPr>
            <m:ctrlPr>
              <w:rPr>
                <w:rFonts w:ascii="Cambria Math" w:hAnsi="Cambria Math"/>
                <w:i/>
                <w:lang w:val="en-US"/>
              </w:rPr>
            </m:ctrlPr>
          </m:sSubPr>
          <m:e>
            <m:r>
              <w:rPr>
                <w:rFonts w:ascii="Cambria Math" w:hAnsi="Cambria Math"/>
                <w:lang w:val="en-US"/>
              </w:rPr>
              <m:t>k</m:t>
            </m:r>
          </m:e>
          <m:sub>
            <m:r>
              <m:rPr>
                <m:sty m:val="p"/>
              </m:rPr>
              <w:rPr>
                <w:rFonts w:ascii="Cambria Math" w:hAnsi="Cambria Math"/>
                <w:lang w:val="en-US"/>
              </w:rPr>
              <m:t>rn</m:t>
            </m:r>
          </m:sub>
        </m:sSub>
        <m:r>
          <w:rPr>
            <w:rFonts w:ascii="Cambria Math" w:hAnsi="Cambria Math"/>
            <w:lang w:val="en-US"/>
          </w:rPr>
          <m:t> </m:t>
        </m:r>
        <m:sSub>
          <m:sSubPr>
            <m:ctrlPr>
              <w:rPr>
                <w:rFonts w:ascii="Cambria Math" w:hAnsi="Cambria Math"/>
                <w:i/>
                <w:lang w:val="en-US"/>
              </w:rPr>
            </m:ctrlPr>
          </m:sSubPr>
          <m:e>
            <m:r>
              <w:rPr>
                <w:rFonts w:ascii="Cambria Math" w:hAnsi="Cambria Math"/>
                <w:lang w:val="en-US"/>
              </w:rPr>
              <m:t>k</m:t>
            </m:r>
          </m:e>
          <m:sub>
            <m:r>
              <m:rPr>
                <m:sty m:val="p"/>
              </m:rPr>
              <w:rPr>
                <w:rFonts w:ascii="Cambria Math" w:hAnsi="Cambria Math"/>
                <w:lang w:val="en-US"/>
              </w:rPr>
              <m:t>MC</m:t>
            </m:r>
          </m:sub>
        </m:sSub>
        <m:sSub>
          <m:sSubPr>
            <m:ctrlPr>
              <w:rPr>
                <w:rFonts w:ascii="Cambria Math" w:hAnsi="Cambria Math"/>
                <w:i/>
                <w:lang w:val="en-US"/>
              </w:rPr>
            </m:ctrlPr>
          </m:sSubPr>
          <m:e>
            <m:d>
              <m:dPr>
                <m:ctrlPr>
                  <w:rPr>
                    <w:rFonts w:ascii="Cambria Math" w:hAnsi="Cambria Math"/>
                    <w:i/>
                    <w:lang w:val="en-US"/>
                  </w:rPr>
                </m:ctrlPr>
              </m:dPr>
              <m:e>
                <m:f>
                  <m:fPr>
                    <m:ctrlPr>
                      <w:rPr>
                        <w:rFonts w:ascii="Cambria Math" w:hAnsi="Cambria Math"/>
                        <w:i/>
                        <w:lang w:val="en-US"/>
                      </w:rPr>
                    </m:ctrlPr>
                  </m:fPr>
                  <m:num>
                    <m:sSub>
                      <m:sSubPr>
                        <m:ctrlPr>
                          <w:rPr>
                            <w:rFonts w:ascii="Cambria Math" w:hAnsi="Cambria Math"/>
                            <w:i/>
                          </w:rPr>
                        </m:ctrlPr>
                      </m:sSubPr>
                      <m:e>
                        <m:r>
                          <w:rPr>
                            <w:rFonts w:ascii="Cambria Math" w:hAnsi="Cambria Math"/>
                          </w:rPr>
                          <m:t>D</m:t>
                        </m:r>
                      </m:e>
                      <m:sub>
                        <m:r>
                          <m:rPr>
                            <m:sty m:val="p"/>
                          </m:rPr>
                          <w:rPr>
                            <w:rFonts w:ascii="Cambria Math" w:hAnsi="Cambria Math"/>
                            <w:lang w:val="en-US"/>
                          </w:rPr>
                          <m:t>w</m:t>
                        </m:r>
                      </m:sub>
                    </m:sSub>
                  </m:num>
                  <m:den>
                    <m:sSub>
                      <m:sSubPr>
                        <m:ctrlPr>
                          <w:rPr>
                            <w:rFonts w:ascii="Cambria Math" w:hAnsi="Cambria Math"/>
                            <w:i/>
                            <w:lang w:val="en-US"/>
                          </w:rPr>
                        </m:ctrlPr>
                      </m:sSubPr>
                      <m:e>
                        <m:r>
                          <w:rPr>
                            <w:rFonts w:ascii="Cambria Math" w:hAnsi="Cambria Math"/>
                            <w:lang w:val="en-US"/>
                          </w:rPr>
                          <m:t>K</m:t>
                        </m:r>
                      </m:e>
                      <m:sub>
                        <m:r>
                          <m:rPr>
                            <m:sty m:val="p"/>
                          </m:rPr>
                          <w:rPr>
                            <w:rFonts w:ascii="Cambria Math" w:hAnsi="Cambria Math"/>
                            <w:lang w:val="en-US"/>
                          </w:rPr>
                          <m:t>air</m:t>
                        </m:r>
                      </m:sub>
                    </m:sSub>
                  </m:den>
                </m:f>
              </m:e>
            </m:d>
          </m:e>
          <m:sub>
            <m:r>
              <m:rPr>
                <m:sty m:val="p"/>
              </m:rPr>
              <w:rPr>
                <w:rFonts w:ascii="Cambria Math" w:hAnsi="Cambria Math"/>
                <w:lang w:val="en-US"/>
              </w:rPr>
              <m:t>MC</m:t>
            </m:r>
          </m:sub>
        </m:sSub>
      </m:oMath>
      <w:r w:rsidR="003C3CD3">
        <w:rPr>
          <w:rFonts w:eastAsiaTheme="minorEastAsia"/>
          <w:lang w:val="en-US"/>
        </w:rPr>
        <w:t xml:space="preserve">  ,</w:t>
      </w:r>
      <w:r w:rsidR="003C3CD3">
        <w:rPr>
          <w:rFonts w:eastAsiaTheme="minorEastAsia"/>
          <w:lang w:val="en-US"/>
        </w:rPr>
        <w:tab/>
      </w:r>
      <w:r w:rsidR="003C3CD3">
        <w:rPr>
          <w:rFonts w:eastAsiaTheme="minorEastAsia"/>
          <w:lang w:val="en-US"/>
        </w:rPr>
        <w:tab/>
      </w:r>
      <w:r w:rsidR="003C3CD3">
        <w:rPr>
          <w:rFonts w:eastAsiaTheme="minorEastAsia"/>
          <w:lang w:val="en-US"/>
        </w:rPr>
        <w:tab/>
      </w:r>
      <w:r w:rsidR="003C3CD3">
        <w:rPr>
          <w:rFonts w:eastAsiaTheme="minorEastAsia"/>
          <w:lang w:val="en-US"/>
        </w:rPr>
        <w:tab/>
      </w:r>
      <w:r w:rsidR="003C3CD3">
        <w:rPr>
          <w:rFonts w:eastAsiaTheme="minorEastAsia"/>
          <w:lang w:val="en-US"/>
        </w:rPr>
        <w:tab/>
      </w:r>
      <w:r w:rsidR="003C3CD3">
        <w:rPr>
          <w:rFonts w:eastAsiaTheme="minorEastAsia"/>
          <w:lang w:val="en-US"/>
        </w:rPr>
        <w:tab/>
      </w:r>
      <w:r w:rsidR="003C3CD3">
        <w:rPr>
          <w:rFonts w:eastAsiaTheme="minorEastAsia"/>
          <w:lang w:val="en-US"/>
        </w:rPr>
        <w:tab/>
      </w:r>
      <w:r w:rsidR="003C3CD3">
        <w:rPr>
          <w:rFonts w:eastAsiaTheme="minorEastAsia"/>
          <w:lang w:val="en-US"/>
        </w:rPr>
        <w:tab/>
        <w:t>(3)</w:t>
      </w:r>
      <m:oMath>
        <m:r>
          <m:rPr>
            <m:sty m:val="p"/>
          </m:rPr>
          <w:rPr>
            <w:lang w:val="en-US"/>
          </w:rPr>
          <w:br/>
        </m:r>
      </m:oMath>
    </w:p>
    <w:p w:rsidR="00DF1D99" w:rsidRDefault="003C3CD3">
      <w:pPr>
        <w:rPr>
          <w:sz w:val="24"/>
          <w:szCs w:val="24"/>
          <w:lang w:val="en-US"/>
        </w:rPr>
      </w:pPr>
      <w:proofErr w:type="gramStart"/>
      <w:r>
        <w:rPr>
          <w:sz w:val="24"/>
          <w:szCs w:val="24"/>
          <w:lang w:val="en-US"/>
        </w:rPr>
        <w:lastRenderedPageBreak/>
        <w:t>where</w:t>
      </w:r>
      <w:proofErr w:type="gramEnd"/>
      <w:r>
        <w:rPr>
          <w:sz w:val="24"/>
          <w:szCs w:val="24"/>
          <w:lang w:val="en-US"/>
        </w:rPr>
        <w:t xml:space="preserve">, </w:t>
      </w:r>
      <w:r w:rsidR="009212D3">
        <w:rPr>
          <w:sz w:val="24"/>
          <w:szCs w:val="24"/>
          <w:lang w:val="en-US"/>
        </w:rPr>
        <w:t xml:space="preserve">in effect, </w:t>
      </w:r>
      <w:proofErr w:type="spellStart"/>
      <w:r w:rsidR="00C02666" w:rsidRPr="00C02666">
        <w:rPr>
          <w:i/>
          <w:sz w:val="24"/>
          <w:szCs w:val="24"/>
          <w:lang w:val="en-US"/>
        </w:rPr>
        <w:t>k</w:t>
      </w:r>
      <w:r w:rsidR="00C02666" w:rsidRPr="00C02666">
        <w:rPr>
          <w:sz w:val="24"/>
          <w:szCs w:val="24"/>
          <w:vertAlign w:val="subscript"/>
          <w:lang w:val="en-US"/>
        </w:rPr>
        <w:t>MC</w:t>
      </w:r>
      <w:proofErr w:type="spellEnd"/>
      <w:r w:rsidR="00C02666">
        <w:rPr>
          <w:sz w:val="24"/>
          <w:szCs w:val="24"/>
          <w:lang w:val="en-US"/>
        </w:rPr>
        <w:t xml:space="preserve"> corrects the calculated ratio </w:t>
      </w:r>
      <w:r>
        <w:rPr>
          <w:sz w:val="24"/>
          <w:szCs w:val="24"/>
          <w:lang w:val="en-US"/>
        </w:rPr>
        <w:t>(</w:t>
      </w:r>
      <w:proofErr w:type="spellStart"/>
      <w:r w:rsidR="00C02666" w:rsidRPr="00C02666">
        <w:rPr>
          <w:i/>
          <w:sz w:val="24"/>
          <w:szCs w:val="24"/>
          <w:lang w:val="en-US"/>
        </w:rPr>
        <w:t>D</w:t>
      </w:r>
      <w:r>
        <w:rPr>
          <w:sz w:val="24"/>
          <w:szCs w:val="24"/>
          <w:vertAlign w:val="subscript"/>
          <w:lang w:val="en-US"/>
        </w:rPr>
        <w:t>w</w:t>
      </w:r>
      <w:proofErr w:type="spellEnd"/>
      <w:r w:rsidR="00C02666">
        <w:rPr>
          <w:sz w:val="24"/>
          <w:szCs w:val="24"/>
          <w:lang w:val="en-US"/>
        </w:rPr>
        <w:t>/</w:t>
      </w:r>
      <w:proofErr w:type="spellStart"/>
      <w:r w:rsidR="00C02666" w:rsidRPr="00C02666">
        <w:rPr>
          <w:i/>
          <w:sz w:val="24"/>
          <w:szCs w:val="24"/>
          <w:lang w:val="en-US"/>
        </w:rPr>
        <w:t>K</w:t>
      </w:r>
      <w:r>
        <w:rPr>
          <w:sz w:val="24"/>
          <w:szCs w:val="24"/>
          <w:vertAlign w:val="subscript"/>
          <w:lang w:val="en-US"/>
        </w:rPr>
        <w:t>air</w:t>
      </w:r>
      <w:proofErr w:type="spellEnd"/>
      <w:r>
        <w:rPr>
          <w:sz w:val="24"/>
          <w:szCs w:val="24"/>
          <w:lang w:val="en-US"/>
        </w:rPr>
        <w:t>)</w:t>
      </w:r>
      <w:r w:rsidRPr="003C3CD3">
        <w:rPr>
          <w:sz w:val="24"/>
          <w:szCs w:val="24"/>
          <w:vertAlign w:val="subscript"/>
          <w:lang w:val="en-US"/>
        </w:rPr>
        <w:t>MC</w:t>
      </w:r>
      <w:r>
        <w:rPr>
          <w:sz w:val="24"/>
          <w:szCs w:val="24"/>
          <w:lang w:val="en-US"/>
        </w:rPr>
        <w:t xml:space="preserve"> </w:t>
      </w:r>
      <w:r w:rsidR="00C02666">
        <w:rPr>
          <w:sz w:val="24"/>
          <w:szCs w:val="24"/>
          <w:lang w:val="en-US"/>
        </w:rPr>
        <w:t xml:space="preserve">to </w:t>
      </w:r>
      <w:r w:rsidR="00F25D42">
        <w:rPr>
          <w:sz w:val="24"/>
          <w:szCs w:val="24"/>
          <w:lang w:val="en-US"/>
        </w:rPr>
        <w:t xml:space="preserve">yield </w:t>
      </w:r>
      <w:r w:rsidR="00C02666">
        <w:rPr>
          <w:sz w:val="24"/>
          <w:szCs w:val="24"/>
          <w:lang w:val="en-US"/>
        </w:rPr>
        <w:t xml:space="preserve">the best estimate </w:t>
      </w:r>
      <w:proofErr w:type="spellStart"/>
      <w:r w:rsidR="00C02666" w:rsidRPr="00C02666">
        <w:rPr>
          <w:i/>
          <w:sz w:val="24"/>
          <w:szCs w:val="24"/>
          <w:lang w:val="en-US"/>
        </w:rPr>
        <w:t>D</w:t>
      </w:r>
      <w:r w:rsidR="00C02666" w:rsidRPr="00C02666">
        <w:rPr>
          <w:sz w:val="24"/>
          <w:szCs w:val="24"/>
          <w:vertAlign w:val="subscript"/>
          <w:lang w:val="en-US"/>
        </w:rPr>
        <w:t>w</w:t>
      </w:r>
      <w:proofErr w:type="spellEnd"/>
      <w:r w:rsidR="00C02666">
        <w:rPr>
          <w:sz w:val="24"/>
          <w:szCs w:val="24"/>
          <w:lang w:val="en-US"/>
        </w:rPr>
        <w:t>/</w:t>
      </w:r>
      <w:proofErr w:type="spellStart"/>
      <w:r w:rsidR="00C02666" w:rsidRPr="00C02666">
        <w:rPr>
          <w:i/>
          <w:sz w:val="24"/>
          <w:szCs w:val="24"/>
          <w:lang w:val="en-US"/>
        </w:rPr>
        <w:t>K</w:t>
      </w:r>
      <w:r w:rsidR="00C02666" w:rsidRPr="00C02666">
        <w:rPr>
          <w:sz w:val="24"/>
          <w:szCs w:val="24"/>
          <w:vertAlign w:val="subscript"/>
          <w:lang w:val="en-US"/>
        </w:rPr>
        <w:t>air</w:t>
      </w:r>
      <w:proofErr w:type="spellEnd"/>
      <w:r w:rsidR="00C02666">
        <w:rPr>
          <w:sz w:val="24"/>
          <w:szCs w:val="24"/>
          <w:lang w:val="en-US"/>
        </w:rPr>
        <w:t>.</w:t>
      </w:r>
      <w:r w:rsidR="000E43B9">
        <w:rPr>
          <w:sz w:val="24"/>
          <w:szCs w:val="24"/>
          <w:lang w:val="en-US"/>
        </w:rPr>
        <w:t xml:space="preserve"> </w:t>
      </w:r>
      <w:r w:rsidR="009212D3">
        <w:rPr>
          <w:sz w:val="24"/>
          <w:szCs w:val="24"/>
          <w:lang w:val="en-US"/>
        </w:rPr>
        <w:t>All values for</w:t>
      </w:r>
      <w:r w:rsidR="000E43B9">
        <w:rPr>
          <w:sz w:val="24"/>
          <w:szCs w:val="24"/>
          <w:lang w:val="en-US"/>
        </w:rPr>
        <w:t xml:space="preserve"> </w:t>
      </w:r>
      <w:proofErr w:type="spellStart"/>
      <w:r w:rsidR="000E43B9" w:rsidRPr="009212D3">
        <w:rPr>
          <w:i/>
          <w:sz w:val="24"/>
          <w:szCs w:val="24"/>
          <w:lang w:val="en-US"/>
        </w:rPr>
        <w:t>k</w:t>
      </w:r>
      <w:r w:rsidR="000E43B9" w:rsidRPr="009212D3">
        <w:rPr>
          <w:sz w:val="24"/>
          <w:szCs w:val="24"/>
          <w:vertAlign w:val="subscript"/>
          <w:lang w:val="en-US"/>
        </w:rPr>
        <w:t>MC</w:t>
      </w:r>
      <w:proofErr w:type="spellEnd"/>
      <w:r w:rsidR="000E43B9">
        <w:rPr>
          <w:sz w:val="24"/>
          <w:szCs w:val="24"/>
          <w:lang w:val="en-US"/>
        </w:rPr>
        <w:t xml:space="preserve"> are greater than unity</w:t>
      </w:r>
      <w:r w:rsidR="009212D3">
        <w:rPr>
          <w:sz w:val="24"/>
          <w:szCs w:val="24"/>
          <w:lang w:val="en-US"/>
        </w:rPr>
        <w:t>, reflecting</w:t>
      </w:r>
      <w:r w:rsidR="005F0159">
        <w:rPr>
          <w:sz w:val="24"/>
          <w:szCs w:val="24"/>
          <w:lang w:val="en-US"/>
        </w:rPr>
        <w:t xml:space="preserve"> </w:t>
      </w:r>
      <w:r w:rsidR="000E43B9">
        <w:rPr>
          <w:sz w:val="24"/>
          <w:szCs w:val="24"/>
          <w:lang w:val="en-US"/>
        </w:rPr>
        <w:t xml:space="preserve">the fact that </w:t>
      </w:r>
      <w:proofErr w:type="spellStart"/>
      <w:r w:rsidR="000E43B9" w:rsidRPr="009212D3">
        <w:rPr>
          <w:i/>
          <w:sz w:val="24"/>
          <w:szCs w:val="24"/>
          <w:lang w:val="en-US"/>
        </w:rPr>
        <w:t>D</w:t>
      </w:r>
      <w:r w:rsidR="000E43B9" w:rsidRPr="009212D3">
        <w:rPr>
          <w:sz w:val="24"/>
          <w:szCs w:val="24"/>
          <w:vertAlign w:val="subscript"/>
          <w:lang w:val="en-US"/>
        </w:rPr>
        <w:t>w,MC</w:t>
      </w:r>
      <w:proofErr w:type="spellEnd"/>
      <w:r w:rsidR="000E43B9">
        <w:rPr>
          <w:sz w:val="24"/>
          <w:szCs w:val="24"/>
          <w:lang w:val="en-US"/>
        </w:rPr>
        <w:t xml:space="preserve"> is always low relative to </w:t>
      </w:r>
      <w:proofErr w:type="spellStart"/>
      <w:r w:rsidR="000E43B9" w:rsidRPr="009212D3">
        <w:rPr>
          <w:i/>
          <w:sz w:val="24"/>
          <w:szCs w:val="24"/>
          <w:lang w:val="en-US"/>
        </w:rPr>
        <w:t>K</w:t>
      </w:r>
      <w:r w:rsidR="000E43B9" w:rsidRPr="009212D3">
        <w:rPr>
          <w:sz w:val="24"/>
          <w:szCs w:val="24"/>
          <w:vertAlign w:val="subscript"/>
          <w:lang w:val="en-US"/>
        </w:rPr>
        <w:t>air,MC</w:t>
      </w:r>
      <w:proofErr w:type="spellEnd"/>
      <w:r>
        <w:rPr>
          <w:sz w:val="24"/>
          <w:szCs w:val="24"/>
          <w:lang w:val="en-US"/>
        </w:rPr>
        <w:t xml:space="preserve">. </w:t>
      </w:r>
      <w:r w:rsidR="009212D3">
        <w:rPr>
          <w:sz w:val="24"/>
          <w:szCs w:val="24"/>
          <w:lang w:val="en-US"/>
        </w:rPr>
        <w:t>Various reasons for this can be postulated, for example an overestimate of the</w:t>
      </w:r>
      <w:r w:rsidR="000E43B9">
        <w:rPr>
          <w:sz w:val="24"/>
          <w:szCs w:val="24"/>
          <w:lang w:val="en-US"/>
        </w:rPr>
        <w:t xml:space="preserve"> attenuation over 2 g cm</w:t>
      </w:r>
      <w:r w:rsidR="000E43B9" w:rsidRPr="00DF1D99">
        <w:rPr>
          <w:sz w:val="24"/>
          <w:szCs w:val="24"/>
          <w:vertAlign w:val="superscript"/>
          <w:lang w:val="en-US"/>
        </w:rPr>
        <w:t>–2</w:t>
      </w:r>
      <w:r w:rsidR="000E43B9">
        <w:rPr>
          <w:sz w:val="24"/>
          <w:szCs w:val="24"/>
          <w:lang w:val="en-US"/>
        </w:rPr>
        <w:t xml:space="preserve"> of water</w:t>
      </w:r>
      <w:r w:rsidR="009212D3">
        <w:rPr>
          <w:sz w:val="24"/>
          <w:szCs w:val="24"/>
          <w:lang w:val="en-US"/>
        </w:rPr>
        <w:t xml:space="preserve">, or an underestimate of the scatter contribution at this depth, including the effect of field-size. </w:t>
      </w:r>
      <w:r w:rsidR="004F7BE3">
        <w:rPr>
          <w:sz w:val="24"/>
          <w:szCs w:val="24"/>
          <w:lang w:val="en-US"/>
        </w:rPr>
        <w:t xml:space="preserve">Such differences are not problematic, because </w:t>
      </w:r>
      <w:r w:rsidR="003C08CC">
        <w:rPr>
          <w:sz w:val="24"/>
          <w:szCs w:val="24"/>
          <w:lang w:val="en-US"/>
        </w:rPr>
        <w:t xml:space="preserve">an </w:t>
      </w:r>
      <w:r w:rsidR="009212D3">
        <w:rPr>
          <w:sz w:val="24"/>
          <w:szCs w:val="24"/>
          <w:lang w:val="en-US"/>
        </w:rPr>
        <w:t>underestimation of</w:t>
      </w:r>
      <w:r w:rsidR="00DF1D99">
        <w:rPr>
          <w:sz w:val="24"/>
          <w:szCs w:val="24"/>
          <w:lang w:val="en-US"/>
        </w:rPr>
        <w:t xml:space="preserve"> </w:t>
      </w:r>
      <w:proofErr w:type="spellStart"/>
      <w:r w:rsidR="00DF1D99" w:rsidRPr="00DF1D99">
        <w:rPr>
          <w:i/>
          <w:sz w:val="24"/>
          <w:szCs w:val="24"/>
          <w:lang w:val="en-US"/>
        </w:rPr>
        <w:t>D</w:t>
      </w:r>
      <w:r w:rsidR="00DF1D99" w:rsidRPr="00DF1D99">
        <w:rPr>
          <w:sz w:val="24"/>
          <w:szCs w:val="24"/>
          <w:vertAlign w:val="subscript"/>
          <w:lang w:val="en-US"/>
        </w:rPr>
        <w:t>w</w:t>
      </w:r>
      <w:proofErr w:type="gramStart"/>
      <w:r w:rsidR="00DF1D99" w:rsidRPr="00DF1D99">
        <w:rPr>
          <w:sz w:val="24"/>
          <w:szCs w:val="24"/>
          <w:vertAlign w:val="subscript"/>
          <w:lang w:val="en-US"/>
        </w:rPr>
        <w:t>,MC</w:t>
      </w:r>
      <w:proofErr w:type="spellEnd"/>
      <w:proofErr w:type="gramEnd"/>
      <w:r w:rsidR="00DF1D99">
        <w:rPr>
          <w:sz w:val="24"/>
          <w:szCs w:val="24"/>
          <w:lang w:val="en-US"/>
        </w:rPr>
        <w:t xml:space="preserve"> </w:t>
      </w:r>
      <w:r w:rsidR="00F25D42">
        <w:rPr>
          <w:sz w:val="24"/>
          <w:szCs w:val="24"/>
          <w:lang w:val="en-US"/>
        </w:rPr>
        <w:t xml:space="preserve">for such reasons </w:t>
      </w:r>
      <w:r w:rsidR="00DF1D99">
        <w:rPr>
          <w:sz w:val="24"/>
          <w:szCs w:val="24"/>
          <w:lang w:val="en-US"/>
        </w:rPr>
        <w:t xml:space="preserve">is accompanied by a corresponding underestimate of </w:t>
      </w:r>
      <w:proofErr w:type="spellStart"/>
      <w:r w:rsidR="00DF1D99" w:rsidRPr="00DF1D99">
        <w:rPr>
          <w:i/>
          <w:sz w:val="24"/>
          <w:szCs w:val="24"/>
          <w:lang w:val="en-US"/>
        </w:rPr>
        <w:t>D</w:t>
      </w:r>
      <w:r w:rsidR="00DF1D99" w:rsidRPr="00DF1D99">
        <w:rPr>
          <w:sz w:val="24"/>
          <w:szCs w:val="24"/>
          <w:vertAlign w:val="subscript"/>
          <w:lang w:val="en-US"/>
        </w:rPr>
        <w:t>cav,w</w:t>
      </w:r>
      <w:proofErr w:type="spellEnd"/>
      <w:r w:rsidR="009219FE">
        <w:rPr>
          <w:sz w:val="24"/>
          <w:szCs w:val="24"/>
          <w:lang w:val="en-US"/>
        </w:rPr>
        <w:t>. T</w:t>
      </w:r>
      <w:r w:rsidR="004F7BE3">
        <w:rPr>
          <w:sz w:val="24"/>
          <w:szCs w:val="24"/>
          <w:lang w:val="en-US"/>
        </w:rPr>
        <w:t xml:space="preserve">his </w:t>
      </w:r>
      <w:r w:rsidR="009219FE">
        <w:rPr>
          <w:sz w:val="24"/>
          <w:szCs w:val="24"/>
          <w:lang w:val="en-US"/>
        </w:rPr>
        <w:t xml:space="preserve">cancellation </w:t>
      </w:r>
      <w:r w:rsidR="004F7BE3">
        <w:rPr>
          <w:sz w:val="24"/>
          <w:szCs w:val="24"/>
          <w:lang w:val="en-US"/>
        </w:rPr>
        <w:t>is inherent in the method</w:t>
      </w:r>
      <w:r w:rsidR="009219FE">
        <w:rPr>
          <w:sz w:val="24"/>
          <w:szCs w:val="24"/>
          <w:lang w:val="en-US"/>
        </w:rPr>
        <w:t xml:space="preserve"> </w:t>
      </w:r>
      <w:r w:rsidR="00CC4CBD">
        <w:rPr>
          <w:sz w:val="24"/>
          <w:szCs w:val="24"/>
          <w:lang w:val="en-US"/>
        </w:rPr>
        <w:t>and is essentially the reason</w:t>
      </w:r>
      <w:r w:rsidR="009219FE">
        <w:rPr>
          <w:sz w:val="24"/>
          <w:szCs w:val="24"/>
          <w:lang w:val="en-US"/>
        </w:rPr>
        <w:t xml:space="preserve"> why transfer chambers are used (otherwise </w:t>
      </w:r>
      <w:proofErr w:type="spellStart"/>
      <w:r w:rsidR="009219FE" w:rsidRPr="00C02666">
        <w:rPr>
          <w:i/>
          <w:sz w:val="24"/>
          <w:szCs w:val="24"/>
          <w:lang w:val="en-US"/>
        </w:rPr>
        <w:t>D</w:t>
      </w:r>
      <w:r w:rsidR="009219FE" w:rsidRPr="00C02666">
        <w:rPr>
          <w:sz w:val="24"/>
          <w:szCs w:val="24"/>
          <w:vertAlign w:val="subscript"/>
          <w:lang w:val="en-US"/>
        </w:rPr>
        <w:t>w</w:t>
      </w:r>
      <w:proofErr w:type="spellEnd"/>
      <w:r w:rsidR="009219FE">
        <w:rPr>
          <w:sz w:val="24"/>
          <w:szCs w:val="24"/>
          <w:lang w:val="en-US"/>
        </w:rPr>
        <w:t>/</w:t>
      </w:r>
      <w:proofErr w:type="spellStart"/>
      <w:r w:rsidR="009219FE" w:rsidRPr="00C02666">
        <w:rPr>
          <w:i/>
          <w:sz w:val="24"/>
          <w:szCs w:val="24"/>
          <w:lang w:val="en-US"/>
        </w:rPr>
        <w:t>K</w:t>
      </w:r>
      <w:r w:rsidR="009219FE" w:rsidRPr="00C02666">
        <w:rPr>
          <w:sz w:val="24"/>
          <w:szCs w:val="24"/>
          <w:vertAlign w:val="subscript"/>
          <w:lang w:val="en-US"/>
        </w:rPr>
        <w:t>air</w:t>
      </w:r>
      <w:proofErr w:type="spellEnd"/>
      <w:r w:rsidR="009219FE">
        <w:rPr>
          <w:sz w:val="24"/>
          <w:szCs w:val="24"/>
          <w:lang w:val="en-US"/>
        </w:rPr>
        <w:t xml:space="preserve"> could be taken purely from the Monte Carlo calculation)</w:t>
      </w:r>
      <w:r w:rsidR="004F7BE3">
        <w:rPr>
          <w:sz w:val="24"/>
          <w:szCs w:val="24"/>
          <w:lang w:val="en-US"/>
        </w:rPr>
        <w:t>.</w:t>
      </w:r>
    </w:p>
    <w:p w:rsidR="004F7BE3" w:rsidRPr="006638EB" w:rsidRDefault="004F7BE3" w:rsidP="004F7BE3">
      <w:pPr>
        <w:keepNext/>
        <w:keepLines/>
        <w:spacing w:after="60"/>
        <w:rPr>
          <w:b/>
          <w:lang w:val="en-US"/>
        </w:rPr>
      </w:pPr>
      <w:proofErr w:type="gramStart"/>
      <w:r>
        <w:rPr>
          <w:b/>
          <w:lang w:val="en-US"/>
        </w:rPr>
        <w:t>Table 3</w:t>
      </w:r>
      <w:r w:rsidRPr="006638EB">
        <w:rPr>
          <w:b/>
          <w:lang w:val="en-US"/>
        </w:rPr>
        <w:t>.</w:t>
      </w:r>
      <w:proofErr w:type="gramEnd"/>
      <w:r w:rsidRPr="006638EB">
        <w:rPr>
          <w:b/>
          <w:lang w:val="en-US"/>
        </w:rPr>
        <w:t xml:space="preserve"> Comparison of the measured and calculated values of th</w:t>
      </w:r>
      <w:r>
        <w:rPr>
          <w:b/>
          <w:lang w:val="en-US"/>
        </w:rPr>
        <w:t>e chamber response ratios water </w:t>
      </w:r>
      <w:r w:rsidRPr="006638EB">
        <w:rPr>
          <w:b/>
          <w:lang w:val="en-US"/>
        </w:rPr>
        <w:t>to air</w:t>
      </w:r>
      <w:r w:rsidR="00F25D42">
        <w:rPr>
          <w:b/>
          <w:lang w:val="en-US"/>
        </w:rPr>
        <w:t xml:space="preserve">, expressed as the correction factor </w:t>
      </w:r>
      <w:proofErr w:type="spellStart"/>
      <w:r w:rsidR="00F25D42" w:rsidRPr="00F25D42">
        <w:rPr>
          <w:b/>
          <w:i/>
          <w:lang w:val="en-US"/>
        </w:rPr>
        <w:t>k</w:t>
      </w:r>
      <w:r w:rsidR="00F25D42" w:rsidRPr="00F25D42">
        <w:rPr>
          <w:b/>
          <w:vertAlign w:val="subscript"/>
          <w:lang w:val="en-US"/>
        </w:rPr>
        <w:t>MC</w:t>
      </w:r>
      <w:proofErr w:type="spellEnd"/>
      <w:r w:rsidRPr="006638EB">
        <w:rPr>
          <w:b/>
          <w:lang w:val="en-US"/>
        </w:rPr>
        <w:t>.</w:t>
      </w:r>
    </w:p>
    <w:tbl>
      <w:tblPr>
        <w:tblStyle w:val="TableGrid"/>
        <w:tblW w:w="0" w:type="auto"/>
        <w:tblInd w:w="108" w:type="dxa"/>
        <w:tblLook w:val="04A0" w:firstRow="1" w:lastRow="0" w:firstColumn="1" w:lastColumn="0" w:noHBand="0" w:noVBand="1"/>
      </w:tblPr>
      <w:tblGrid>
        <w:gridCol w:w="1414"/>
        <w:gridCol w:w="957"/>
        <w:gridCol w:w="957"/>
        <w:gridCol w:w="957"/>
        <w:gridCol w:w="958"/>
        <w:gridCol w:w="957"/>
        <w:gridCol w:w="957"/>
        <w:gridCol w:w="957"/>
        <w:gridCol w:w="958"/>
      </w:tblGrid>
      <w:tr w:rsidR="004F7BE3" w:rsidTr="00910F09">
        <w:tc>
          <w:tcPr>
            <w:tcW w:w="1414" w:type="dxa"/>
            <w:tcBorders>
              <w:bottom w:val="nil"/>
            </w:tcBorders>
            <w:vAlign w:val="center"/>
          </w:tcPr>
          <w:p w:rsidR="004F7BE3" w:rsidRPr="00384FC8" w:rsidRDefault="004F7BE3" w:rsidP="00910F09">
            <w:pPr>
              <w:keepNext/>
              <w:keepLines/>
              <w:spacing w:beforeLines="20" w:before="48" w:afterLines="20" w:after="48"/>
              <w:rPr>
                <w:lang w:val="en-US"/>
              </w:rPr>
            </w:pPr>
          </w:p>
        </w:tc>
        <w:tc>
          <w:tcPr>
            <w:tcW w:w="1914" w:type="dxa"/>
            <w:gridSpan w:val="2"/>
          </w:tcPr>
          <w:p w:rsidR="004F7BE3" w:rsidRPr="00384FC8" w:rsidRDefault="004F7BE3" w:rsidP="00910F09">
            <w:pPr>
              <w:keepNext/>
              <w:keepLines/>
              <w:spacing w:beforeLines="20" w:before="48" w:afterLines="20" w:after="48"/>
              <w:jc w:val="center"/>
              <w:rPr>
                <w:lang w:val="en-US"/>
              </w:rPr>
            </w:pPr>
            <w:r w:rsidRPr="00384FC8">
              <w:rPr>
                <w:lang w:val="en-US"/>
              </w:rPr>
              <w:t>100 kV</w:t>
            </w:r>
          </w:p>
        </w:tc>
        <w:tc>
          <w:tcPr>
            <w:tcW w:w="1915" w:type="dxa"/>
            <w:gridSpan w:val="2"/>
            <w:vAlign w:val="center"/>
          </w:tcPr>
          <w:p w:rsidR="004F7BE3" w:rsidRPr="00384FC8" w:rsidRDefault="004F7BE3" w:rsidP="00910F09">
            <w:pPr>
              <w:keepNext/>
              <w:keepLines/>
              <w:spacing w:beforeLines="20" w:before="48" w:afterLines="20" w:after="48"/>
              <w:jc w:val="center"/>
              <w:rPr>
                <w:lang w:val="en-US"/>
              </w:rPr>
            </w:pPr>
            <w:r w:rsidRPr="00384FC8">
              <w:rPr>
                <w:lang w:val="en-US"/>
              </w:rPr>
              <w:t>135 kV</w:t>
            </w:r>
          </w:p>
        </w:tc>
        <w:tc>
          <w:tcPr>
            <w:tcW w:w="1914" w:type="dxa"/>
            <w:gridSpan w:val="2"/>
          </w:tcPr>
          <w:p w:rsidR="004F7BE3" w:rsidRPr="00384FC8" w:rsidRDefault="004F7BE3" w:rsidP="00910F09">
            <w:pPr>
              <w:keepNext/>
              <w:keepLines/>
              <w:spacing w:beforeLines="20" w:before="48" w:afterLines="20" w:after="48"/>
              <w:jc w:val="center"/>
              <w:rPr>
                <w:lang w:val="en-US"/>
              </w:rPr>
            </w:pPr>
            <w:r w:rsidRPr="00384FC8">
              <w:rPr>
                <w:lang w:val="en-US"/>
              </w:rPr>
              <w:t>180 kV</w:t>
            </w:r>
          </w:p>
        </w:tc>
        <w:tc>
          <w:tcPr>
            <w:tcW w:w="1915" w:type="dxa"/>
            <w:gridSpan w:val="2"/>
            <w:vAlign w:val="center"/>
          </w:tcPr>
          <w:p w:rsidR="004F7BE3" w:rsidRPr="00384FC8" w:rsidRDefault="004F7BE3" w:rsidP="00910F09">
            <w:pPr>
              <w:keepNext/>
              <w:keepLines/>
              <w:spacing w:beforeLines="20" w:before="48" w:afterLines="20" w:after="48"/>
              <w:jc w:val="center"/>
              <w:rPr>
                <w:lang w:val="en-US"/>
              </w:rPr>
            </w:pPr>
            <w:r w:rsidRPr="00384FC8">
              <w:rPr>
                <w:lang w:val="en-US"/>
              </w:rPr>
              <w:t>250 kV</w:t>
            </w:r>
          </w:p>
        </w:tc>
      </w:tr>
      <w:tr w:rsidR="004F7BE3" w:rsidTr="00910F09">
        <w:tc>
          <w:tcPr>
            <w:tcW w:w="1414" w:type="dxa"/>
            <w:tcBorders>
              <w:top w:val="nil"/>
            </w:tcBorders>
            <w:vAlign w:val="center"/>
          </w:tcPr>
          <w:p w:rsidR="004F7BE3" w:rsidRPr="00384FC8" w:rsidRDefault="004F7BE3" w:rsidP="00910F09">
            <w:pPr>
              <w:keepNext/>
              <w:keepLines/>
              <w:spacing w:beforeLines="20" w:before="48" w:afterLines="20" w:after="48"/>
              <w:rPr>
                <w:lang w:val="en-US"/>
              </w:rPr>
            </w:pPr>
          </w:p>
        </w:tc>
        <w:tc>
          <w:tcPr>
            <w:tcW w:w="957" w:type="dxa"/>
            <w:tcBorders>
              <w:bottom w:val="single" w:sz="4" w:space="0" w:color="auto"/>
            </w:tcBorders>
          </w:tcPr>
          <w:p w:rsidR="004F7BE3" w:rsidRPr="00384FC8" w:rsidRDefault="004F7BE3" w:rsidP="00910F09">
            <w:pPr>
              <w:keepNext/>
              <w:keepLines/>
              <w:spacing w:beforeLines="20" w:before="48" w:afterLines="20" w:after="48"/>
              <w:jc w:val="center"/>
              <w:rPr>
                <w:lang w:val="en-US"/>
              </w:rPr>
            </w:pPr>
            <w:r w:rsidRPr="00384FC8">
              <w:rPr>
                <w:lang w:val="en-US"/>
              </w:rPr>
              <w:t>value</w:t>
            </w:r>
          </w:p>
        </w:tc>
        <w:tc>
          <w:tcPr>
            <w:tcW w:w="957" w:type="dxa"/>
            <w:tcBorders>
              <w:bottom w:val="single" w:sz="4" w:space="0" w:color="auto"/>
            </w:tcBorders>
          </w:tcPr>
          <w:p w:rsidR="004F7BE3" w:rsidRPr="00384FC8" w:rsidRDefault="004F7BE3" w:rsidP="00910F09">
            <w:pPr>
              <w:keepNext/>
              <w:keepLines/>
              <w:spacing w:beforeLines="20" w:before="48" w:afterLines="20" w:after="48"/>
              <w:jc w:val="center"/>
              <w:rPr>
                <w:lang w:val="en-US"/>
              </w:rPr>
            </w:pPr>
            <w:r w:rsidRPr="004632CD">
              <w:rPr>
                <w:rFonts w:ascii="Symbol" w:hAnsi="Symbol"/>
                <w:i/>
                <w:lang w:val="en-US"/>
              </w:rPr>
              <w:t></w:t>
            </w:r>
            <w:r w:rsidRPr="004632CD">
              <w:rPr>
                <w:vertAlign w:val="subscript"/>
                <w:lang w:val="en-US"/>
              </w:rPr>
              <w:t>A</w:t>
            </w:r>
            <w:r>
              <w:rPr>
                <w:lang w:val="en-US"/>
              </w:rPr>
              <w:t xml:space="preserve"> /</w:t>
            </w:r>
            <w:r w:rsidRPr="00125A3C">
              <w:rPr>
                <w:lang w:val="en-US"/>
              </w:rPr>
              <w:t xml:space="preserve"> %</w:t>
            </w:r>
          </w:p>
        </w:tc>
        <w:tc>
          <w:tcPr>
            <w:tcW w:w="957" w:type="dxa"/>
            <w:tcBorders>
              <w:bottom w:val="single" w:sz="4" w:space="0" w:color="auto"/>
            </w:tcBorders>
          </w:tcPr>
          <w:p w:rsidR="004F7BE3" w:rsidRPr="00384FC8" w:rsidRDefault="004F7BE3" w:rsidP="00910F09">
            <w:pPr>
              <w:keepNext/>
              <w:keepLines/>
              <w:spacing w:beforeLines="20" w:before="48" w:afterLines="20" w:after="48"/>
              <w:jc w:val="center"/>
              <w:rPr>
                <w:lang w:val="en-US"/>
              </w:rPr>
            </w:pPr>
            <w:r w:rsidRPr="00384FC8">
              <w:rPr>
                <w:lang w:val="en-US"/>
              </w:rPr>
              <w:t>value</w:t>
            </w:r>
          </w:p>
        </w:tc>
        <w:tc>
          <w:tcPr>
            <w:tcW w:w="958" w:type="dxa"/>
            <w:tcBorders>
              <w:bottom w:val="single" w:sz="4" w:space="0" w:color="auto"/>
            </w:tcBorders>
          </w:tcPr>
          <w:p w:rsidR="004F7BE3" w:rsidRPr="00384FC8" w:rsidRDefault="004F7BE3" w:rsidP="00910F09">
            <w:pPr>
              <w:keepNext/>
              <w:keepLines/>
              <w:spacing w:beforeLines="20" w:before="48" w:afterLines="20" w:after="48"/>
              <w:jc w:val="center"/>
              <w:rPr>
                <w:lang w:val="en-US"/>
              </w:rPr>
            </w:pPr>
            <w:r w:rsidRPr="004632CD">
              <w:rPr>
                <w:rFonts w:ascii="Symbol" w:hAnsi="Symbol"/>
                <w:i/>
                <w:lang w:val="en-US"/>
              </w:rPr>
              <w:t></w:t>
            </w:r>
            <w:r w:rsidRPr="004632CD">
              <w:rPr>
                <w:vertAlign w:val="subscript"/>
                <w:lang w:val="en-US"/>
              </w:rPr>
              <w:t>A</w:t>
            </w:r>
            <w:r>
              <w:rPr>
                <w:lang w:val="en-US"/>
              </w:rPr>
              <w:t xml:space="preserve"> /</w:t>
            </w:r>
            <w:r w:rsidRPr="00125A3C">
              <w:rPr>
                <w:lang w:val="en-US"/>
              </w:rPr>
              <w:t xml:space="preserve"> %</w:t>
            </w:r>
          </w:p>
        </w:tc>
        <w:tc>
          <w:tcPr>
            <w:tcW w:w="957" w:type="dxa"/>
            <w:tcBorders>
              <w:bottom w:val="single" w:sz="4" w:space="0" w:color="auto"/>
            </w:tcBorders>
          </w:tcPr>
          <w:p w:rsidR="004F7BE3" w:rsidRPr="00384FC8" w:rsidRDefault="004F7BE3" w:rsidP="00910F09">
            <w:pPr>
              <w:keepNext/>
              <w:keepLines/>
              <w:spacing w:beforeLines="20" w:before="48" w:afterLines="20" w:after="48"/>
              <w:jc w:val="center"/>
              <w:rPr>
                <w:lang w:val="en-US"/>
              </w:rPr>
            </w:pPr>
            <w:r w:rsidRPr="00384FC8">
              <w:rPr>
                <w:lang w:val="en-US"/>
              </w:rPr>
              <w:t>value</w:t>
            </w:r>
          </w:p>
        </w:tc>
        <w:tc>
          <w:tcPr>
            <w:tcW w:w="957" w:type="dxa"/>
            <w:tcBorders>
              <w:bottom w:val="single" w:sz="4" w:space="0" w:color="auto"/>
            </w:tcBorders>
          </w:tcPr>
          <w:p w:rsidR="004F7BE3" w:rsidRPr="00384FC8" w:rsidRDefault="004F7BE3" w:rsidP="00910F09">
            <w:pPr>
              <w:keepNext/>
              <w:keepLines/>
              <w:spacing w:beforeLines="20" w:before="48" w:afterLines="20" w:after="48"/>
              <w:jc w:val="center"/>
              <w:rPr>
                <w:lang w:val="en-US"/>
              </w:rPr>
            </w:pPr>
            <w:r w:rsidRPr="004632CD">
              <w:rPr>
                <w:rFonts w:ascii="Symbol" w:hAnsi="Symbol"/>
                <w:i/>
                <w:lang w:val="en-US"/>
              </w:rPr>
              <w:t></w:t>
            </w:r>
            <w:r w:rsidRPr="004632CD">
              <w:rPr>
                <w:vertAlign w:val="subscript"/>
                <w:lang w:val="en-US"/>
              </w:rPr>
              <w:t>A</w:t>
            </w:r>
            <w:r>
              <w:rPr>
                <w:lang w:val="en-US"/>
              </w:rPr>
              <w:t xml:space="preserve"> /</w:t>
            </w:r>
            <w:r w:rsidRPr="00125A3C">
              <w:rPr>
                <w:lang w:val="en-US"/>
              </w:rPr>
              <w:t xml:space="preserve"> %</w:t>
            </w:r>
          </w:p>
        </w:tc>
        <w:tc>
          <w:tcPr>
            <w:tcW w:w="957" w:type="dxa"/>
            <w:tcBorders>
              <w:bottom w:val="single" w:sz="4" w:space="0" w:color="auto"/>
            </w:tcBorders>
          </w:tcPr>
          <w:p w:rsidR="004F7BE3" w:rsidRPr="00384FC8" w:rsidRDefault="004F7BE3" w:rsidP="00910F09">
            <w:pPr>
              <w:keepNext/>
              <w:keepLines/>
              <w:spacing w:beforeLines="20" w:before="48" w:afterLines="20" w:after="48"/>
              <w:jc w:val="center"/>
              <w:rPr>
                <w:lang w:val="en-US"/>
              </w:rPr>
            </w:pPr>
            <w:r w:rsidRPr="00384FC8">
              <w:rPr>
                <w:lang w:val="en-US"/>
              </w:rPr>
              <w:t>value</w:t>
            </w:r>
          </w:p>
        </w:tc>
        <w:tc>
          <w:tcPr>
            <w:tcW w:w="958" w:type="dxa"/>
            <w:tcBorders>
              <w:bottom w:val="single" w:sz="4" w:space="0" w:color="auto"/>
            </w:tcBorders>
          </w:tcPr>
          <w:p w:rsidR="004F7BE3" w:rsidRPr="00384FC8" w:rsidRDefault="004F7BE3" w:rsidP="00910F09">
            <w:pPr>
              <w:keepNext/>
              <w:keepLines/>
              <w:spacing w:beforeLines="20" w:before="48" w:afterLines="20" w:after="48"/>
              <w:jc w:val="center"/>
              <w:rPr>
                <w:lang w:val="en-US"/>
              </w:rPr>
            </w:pPr>
            <w:r w:rsidRPr="004632CD">
              <w:rPr>
                <w:rFonts w:ascii="Symbol" w:hAnsi="Symbol"/>
                <w:i/>
                <w:lang w:val="en-US"/>
              </w:rPr>
              <w:t></w:t>
            </w:r>
            <w:r w:rsidRPr="004632CD">
              <w:rPr>
                <w:vertAlign w:val="subscript"/>
                <w:lang w:val="en-US"/>
              </w:rPr>
              <w:t>A</w:t>
            </w:r>
            <w:r>
              <w:rPr>
                <w:lang w:val="en-US"/>
              </w:rPr>
              <w:t xml:space="preserve"> /</w:t>
            </w:r>
            <w:r w:rsidRPr="00125A3C">
              <w:rPr>
                <w:lang w:val="en-US"/>
              </w:rPr>
              <w:t xml:space="preserve"> %</w:t>
            </w:r>
          </w:p>
        </w:tc>
      </w:tr>
      <w:tr w:rsidR="004F7BE3" w:rsidTr="00910F09">
        <w:tc>
          <w:tcPr>
            <w:tcW w:w="1414" w:type="dxa"/>
            <w:vAlign w:val="center"/>
          </w:tcPr>
          <w:p w:rsidR="004F7BE3" w:rsidRPr="00384FC8" w:rsidRDefault="004F7BE3" w:rsidP="00910F09">
            <w:pPr>
              <w:keepNext/>
              <w:keepLines/>
              <w:spacing w:beforeLines="20" w:before="48" w:afterLines="20" w:after="48"/>
              <w:rPr>
                <w:i/>
                <w:lang w:val="en-US"/>
              </w:rPr>
            </w:pPr>
            <w:r w:rsidRPr="00384FC8">
              <w:rPr>
                <w:i/>
                <w:lang w:val="en-US"/>
              </w:rPr>
              <w:t>Exradin A12</w:t>
            </w:r>
          </w:p>
        </w:tc>
        <w:tc>
          <w:tcPr>
            <w:tcW w:w="957" w:type="dxa"/>
            <w:tcBorders>
              <w:right w:val="nil"/>
            </w:tcBorders>
          </w:tcPr>
          <w:p w:rsidR="004F7BE3" w:rsidRPr="00384FC8" w:rsidRDefault="004F7BE3" w:rsidP="00910F09">
            <w:pPr>
              <w:keepNext/>
              <w:keepLines/>
              <w:spacing w:beforeLines="20" w:before="48" w:afterLines="20" w:after="48"/>
              <w:jc w:val="center"/>
              <w:rPr>
                <w:lang w:val="en-US"/>
              </w:rPr>
            </w:pPr>
          </w:p>
        </w:tc>
        <w:tc>
          <w:tcPr>
            <w:tcW w:w="957" w:type="dxa"/>
            <w:tcBorders>
              <w:left w:val="nil"/>
              <w:right w:val="nil"/>
            </w:tcBorders>
          </w:tcPr>
          <w:p w:rsidR="004F7BE3" w:rsidRPr="00384FC8" w:rsidRDefault="004F7BE3" w:rsidP="00910F09">
            <w:pPr>
              <w:keepNext/>
              <w:keepLines/>
              <w:spacing w:beforeLines="20" w:before="48" w:afterLines="20" w:after="48"/>
              <w:jc w:val="center"/>
              <w:rPr>
                <w:lang w:val="en-US"/>
              </w:rPr>
            </w:pPr>
          </w:p>
        </w:tc>
        <w:tc>
          <w:tcPr>
            <w:tcW w:w="957" w:type="dxa"/>
            <w:tcBorders>
              <w:left w:val="nil"/>
              <w:right w:val="nil"/>
            </w:tcBorders>
            <w:vAlign w:val="center"/>
          </w:tcPr>
          <w:p w:rsidR="004F7BE3" w:rsidRPr="00384FC8" w:rsidRDefault="004F7BE3" w:rsidP="00910F09">
            <w:pPr>
              <w:keepNext/>
              <w:keepLines/>
              <w:spacing w:beforeLines="20" w:before="48" w:afterLines="20" w:after="48"/>
              <w:jc w:val="center"/>
              <w:rPr>
                <w:lang w:val="en-US"/>
              </w:rPr>
            </w:pPr>
          </w:p>
        </w:tc>
        <w:tc>
          <w:tcPr>
            <w:tcW w:w="958" w:type="dxa"/>
            <w:tcBorders>
              <w:left w:val="nil"/>
              <w:right w:val="nil"/>
            </w:tcBorders>
          </w:tcPr>
          <w:p w:rsidR="004F7BE3" w:rsidRPr="00384FC8" w:rsidRDefault="004F7BE3" w:rsidP="00910F09">
            <w:pPr>
              <w:keepNext/>
              <w:keepLines/>
              <w:spacing w:beforeLines="20" w:before="48" w:afterLines="20" w:after="48"/>
              <w:jc w:val="center"/>
              <w:rPr>
                <w:lang w:val="en-US"/>
              </w:rPr>
            </w:pPr>
          </w:p>
        </w:tc>
        <w:tc>
          <w:tcPr>
            <w:tcW w:w="957" w:type="dxa"/>
            <w:tcBorders>
              <w:left w:val="nil"/>
              <w:right w:val="nil"/>
            </w:tcBorders>
          </w:tcPr>
          <w:p w:rsidR="004F7BE3" w:rsidRPr="00384FC8" w:rsidRDefault="004F7BE3" w:rsidP="00910F09">
            <w:pPr>
              <w:keepNext/>
              <w:keepLines/>
              <w:spacing w:beforeLines="20" w:before="48" w:afterLines="20" w:after="48"/>
              <w:jc w:val="center"/>
              <w:rPr>
                <w:lang w:val="en-US"/>
              </w:rPr>
            </w:pPr>
          </w:p>
        </w:tc>
        <w:tc>
          <w:tcPr>
            <w:tcW w:w="957" w:type="dxa"/>
            <w:tcBorders>
              <w:left w:val="nil"/>
              <w:right w:val="nil"/>
            </w:tcBorders>
            <w:vAlign w:val="center"/>
          </w:tcPr>
          <w:p w:rsidR="004F7BE3" w:rsidRPr="00384FC8" w:rsidRDefault="004F7BE3" w:rsidP="00910F09">
            <w:pPr>
              <w:keepNext/>
              <w:keepLines/>
              <w:spacing w:beforeLines="20" w:before="48" w:afterLines="20" w:after="48"/>
              <w:jc w:val="center"/>
              <w:rPr>
                <w:lang w:val="en-US"/>
              </w:rPr>
            </w:pPr>
          </w:p>
        </w:tc>
        <w:tc>
          <w:tcPr>
            <w:tcW w:w="957" w:type="dxa"/>
            <w:tcBorders>
              <w:left w:val="nil"/>
              <w:right w:val="nil"/>
            </w:tcBorders>
            <w:vAlign w:val="center"/>
          </w:tcPr>
          <w:p w:rsidR="004F7BE3" w:rsidRPr="00384FC8" w:rsidRDefault="004F7BE3" w:rsidP="00910F09">
            <w:pPr>
              <w:keepNext/>
              <w:keepLines/>
              <w:spacing w:beforeLines="20" w:before="48" w:afterLines="20" w:after="48"/>
              <w:jc w:val="center"/>
              <w:rPr>
                <w:lang w:val="en-US"/>
              </w:rPr>
            </w:pPr>
          </w:p>
        </w:tc>
        <w:tc>
          <w:tcPr>
            <w:tcW w:w="958" w:type="dxa"/>
            <w:tcBorders>
              <w:left w:val="nil"/>
            </w:tcBorders>
            <w:vAlign w:val="center"/>
          </w:tcPr>
          <w:p w:rsidR="004F7BE3" w:rsidRPr="00384FC8" w:rsidRDefault="004F7BE3" w:rsidP="00910F09">
            <w:pPr>
              <w:keepNext/>
              <w:keepLines/>
              <w:spacing w:beforeLines="20" w:before="48" w:afterLines="20" w:after="48"/>
              <w:jc w:val="center"/>
              <w:rPr>
                <w:lang w:val="en-US"/>
              </w:rPr>
            </w:pPr>
          </w:p>
        </w:tc>
      </w:tr>
      <w:tr w:rsidR="004F7BE3" w:rsidTr="00910F09">
        <w:tc>
          <w:tcPr>
            <w:tcW w:w="1414" w:type="dxa"/>
            <w:vAlign w:val="center"/>
          </w:tcPr>
          <w:p w:rsidR="004F7BE3" w:rsidRPr="00384FC8" w:rsidRDefault="00D240B3" w:rsidP="00910F09">
            <w:pPr>
              <w:keepNext/>
              <w:keepLines/>
              <w:spacing w:beforeLines="20" w:before="48" w:afterLines="20" w:after="48"/>
              <w:rPr>
                <w:lang w:val="en-US"/>
              </w:rPr>
            </w:pPr>
            <w:proofErr w:type="spellStart"/>
            <w:r>
              <w:rPr>
                <w:i/>
                <w:lang w:val="en-US"/>
              </w:rPr>
              <w:t>Q</w:t>
            </w:r>
            <w:r w:rsidR="004F7BE3" w:rsidRPr="00384FC8">
              <w:rPr>
                <w:vertAlign w:val="subscript"/>
                <w:lang w:val="en-US"/>
              </w:rPr>
              <w:t>w</w:t>
            </w:r>
            <w:proofErr w:type="spellEnd"/>
            <w:r w:rsidR="004F7BE3" w:rsidRPr="00384FC8">
              <w:rPr>
                <w:lang w:val="en-US"/>
              </w:rPr>
              <w:t>/</w:t>
            </w:r>
            <w:proofErr w:type="spellStart"/>
            <w:r>
              <w:rPr>
                <w:i/>
                <w:lang w:val="en-US"/>
              </w:rPr>
              <w:t>Q</w:t>
            </w:r>
            <w:r w:rsidR="004F7BE3" w:rsidRPr="00384FC8">
              <w:rPr>
                <w:vertAlign w:val="subscript"/>
                <w:lang w:val="en-US"/>
              </w:rPr>
              <w:t>air</w:t>
            </w:r>
            <w:proofErr w:type="spellEnd"/>
          </w:p>
        </w:tc>
        <w:tc>
          <w:tcPr>
            <w:tcW w:w="957" w:type="dxa"/>
            <w:vAlign w:val="center"/>
          </w:tcPr>
          <w:p w:rsidR="004F7BE3" w:rsidRPr="00384FC8" w:rsidRDefault="004F7BE3" w:rsidP="00910F09">
            <w:pPr>
              <w:keepNext/>
              <w:keepLines/>
              <w:jc w:val="center"/>
            </w:pPr>
            <w:r w:rsidRPr="00384FC8">
              <w:t>1.1406</w:t>
            </w:r>
          </w:p>
        </w:tc>
        <w:tc>
          <w:tcPr>
            <w:tcW w:w="957" w:type="dxa"/>
            <w:vAlign w:val="center"/>
          </w:tcPr>
          <w:p w:rsidR="004F7BE3" w:rsidRPr="00384FC8" w:rsidRDefault="004F7BE3" w:rsidP="00910F09">
            <w:pPr>
              <w:keepNext/>
              <w:keepLines/>
              <w:jc w:val="center"/>
            </w:pPr>
            <w:r>
              <w:t>0.</w:t>
            </w:r>
            <w:r w:rsidRPr="00384FC8">
              <w:t>03</w:t>
            </w:r>
          </w:p>
        </w:tc>
        <w:tc>
          <w:tcPr>
            <w:tcW w:w="957" w:type="dxa"/>
            <w:vAlign w:val="center"/>
          </w:tcPr>
          <w:p w:rsidR="004F7BE3" w:rsidRPr="00384FC8" w:rsidRDefault="004F7BE3" w:rsidP="00910F09">
            <w:pPr>
              <w:keepNext/>
              <w:keepLines/>
              <w:jc w:val="center"/>
            </w:pPr>
            <w:r w:rsidRPr="00384FC8">
              <w:t>1.3355</w:t>
            </w:r>
          </w:p>
        </w:tc>
        <w:tc>
          <w:tcPr>
            <w:tcW w:w="958" w:type="dxa"/>
            <w:vAlign w:val="center"/>
          </w:tcPr>
          <w:p w:rsidR="004F7BE3" w:rsidRPr="00384FC8" w:rsidRDefault="004F7BE3" w:rsidP="00910F09">
            <w:pPr>
              <w:keepNext/>
              <w:keepLines/>
              <w:jc w:val="center"/>
            </w:pPr>
            <w:r>
              <w:t>0.</w:t>
            </w:r>
            <w:r w:rsidRPr="00384FC8">
              <w:t>08</w:t>
            </w:r>
          </w:p>
        </w:tc>
        <w:tc>
          <w:tcPr>
            <w:tcW w:w="957" w:type="dxa"/>
            <w:vAlign w:val="center"/>
          </w:tcPr>
          <w:p w:rsidR="004F7BE3" w:rsidRPr="00384FC8" w:rsidRDefault="004F7BE3" w:rsidP="00910F09">
            <w:pPr>
              <w:keepNext/>
              <w:keepLines/>
              <w:jc w:val="center"/>
            </w:pPr>
            <w:r w:rsidRPr="00384FC8">
              <w:t>1.3276</w:t>
            </w:r>
          </w:p>
        </w:tc>
        <w:tc>
          <w:tcPr>
            <w:tcW w:w="957" w:type="dxa"/>
            <w:vAlign w:val="center"/>
          </w:tcPr>
          <w:p w:rsidR="004F7BE3" w:rsidRPr="00384FC8" w:rsidRDefault="004F7BE3" w:rsidP="00910F09">
            <w:pPr>
              <w:keepNext/>
              <w:keepLines/>
              <w:jc w:val="center"/>
            </w:pPr>
            <w:r>
              <w:t>0.</w:t>
            </w:r>
            <w:r w:rsidRPr="00384FC8">
              <w:t>06</w:t>
            </w:r>
          </w:p>
        </w:tc>
        <w:tc>
          <w:tcPr>
            <w:tcW w:w="957" w:type="dxa"/>
            <w:vAlign w:val="center"/>
          </w:tcPr>
          <w:p w:rsidR="004F7BE3" w:rsidRPr="00384FC8" w:rsidRDefault="004F7BE3" w:rsidP="00910F09">
            <w:pPr>
              <w:keepNext/>
              <w:keepLines/>
              <w:jc w:val="center"/>
            </w:pPr>
            <w:r w:rsidRPr="00384FC8">
              <w:t>1.2359</w:t>
            </w:r>
          </w:p>
        </w:tc>
        <w:tc>
          <w:tcPr>
            <w:tcW w:w="958" w:type="dxa"/>
            <w:vAlign w:val="center"/>
          </w:tcPr>
          <w:p w:rsidR="004F7BE3" w:rsidRPr="00384FC8" w:rsidRDefault="004F7BE3" w:rsidP="00910F09">
            <w:pPr>
              <w:keepNext/>
              <w:keepLines/>
              <w:jc w:val="center"/>
            </w:pPr>
            <w:r>
              <w:t>0.</w:t>
            </w:r>
            <w:r w:rsidRPr="00384FC8">
              <w:t>07</w:t>
            </w:r>
          </w:p>
        </w:tc>
      </w:tr>
      <w:tr w:rsidR="004F7BE3" w:rsidTr="00910F09">
        <w:tc>
          <w:tcPr>
            <w:tcW w:w="1414" w:type="dxa"/>
            <w:vAlign w:val="center"/>
          </w:tcPr>
          <w:p w:rsidR="004F7BE3" w:rsidRPr="00384FC8" w:rsidRDefault="004F7BE3" w:rsidP="00910F09">
            <w:pPr>
              <w:keepNext/>
              <w:keepLines/>
              <w:spacing w:beforeLines="20" w:before="48" w:afterLines="20" w:after="48"/>
              <w:rPr>
                <w:lang w:val="en-US"/>
              </w:rPr>
            </w:pPr>
            <w:proofErr w:type="spellStart"/>
            <w:r w:rsidRPr="00384FC8">
              <w:rPr>
                <w:i/>
                <w:lang w:val="en-US"/>
              </w:rPr>
              <w:t>D</w:t>
            </w:r>
            <w:r w:rsidRPr="00384FC8">
              <w:rPr>
                <w:vertAlign w:val="subscript"/>
                <w:lang w:val="en-US"/>
              </w:rPr>
              <w:t>cav,w</w:t>
            </w:r>
            <w:proofErr w:type="spellEnd"/>
            <w:r w:rsidRPr="00384FC8">
              <w:rPr>
                <w:lang w:val="en-US"/>
              </w:rPr>
              <w:t>/</w:t>
            </w:r>
            <w:proofErr w:type="spellStart"/>
            <w:r w:rsidRPr="00384FC8">
              <w:rPr>
                <w:i/>
                <w:lang w:val="en-US"/>
              </w:rPr>
              <w:t>D</w:t>
            </w:r>
            <w:r w:rsidRPr="00384FC8">
              <w:rPr>
                <w:vertAlign w:val="subscript"/>
                <w:lang w:val="en-US"/>
              </w:rPr>
              <w:t>cav,air</w:t>
            </w:r>
            <w:proofErr w:type="spellEnd"/>
          </w:p>
        </w:tc>
        <w:tc>
          <w:tcPr>
            <w:tcW w:w="957" w:type="dxa"/>
            <w:vAlign w:val="center"/>
          </w:tcPr>
          <w:p w:rsidR="004F7BE3" w:rsidRPr="00384FC8" w:rsidRDefault="004F7BE3" w:rsidP="00910F09">
            <w:pPr>
              <w:keepNext/>
              <w:keepLines/>
              <w:jc w:val="center"/>
            </w:pPr>
            <w:r w:rsidRPr="00384FC8">
              <w:t>1.1352</w:t>
            </w:r>
          </w:p>
        </w:tc>
        <w:tc>
          <w:tcPr>
            <w:tcW w:w="957" w:type="dxa"/>
            <w:vAlign w:val="center"/>
          </w:tcPr>
          <w:p w:rsidR="004F7BE3" w:rsidRPr="00384FC8" w:rsidRDefault="004F7BE3" w:rsidP="00910F09">
            <w:pPr>
              <w:keepNext/>
              <w:keepLines/>
              <w:jc w:val="center"/>
            </w:pPr>
            <w:r>
              <w:t>0.</w:t>
            </w:r>
            <w:r w:rsidRPr="00384FC8">
              <w:t>14</w:t>
            </w:r>
          </w:p>
        </w:tc>
        <w:tc>
          <w:tcPr>
            <w:tcW w:w="957" w:type="dxa"/>
            <w:vAlign w:val="center"/>
          </w:tcPr>
          <w:p w:rsidR="004F7BE3" w:rsidRPr="00384FC8" w:rsidRDefault="004F7BE3" w:rsidP="00910F09">
            <w:pPr>
              <w:keepNext/>
              <w:keepLines/>
              <w:jc w:val="center"/>
            </w:pPr>
            <w:r w:rsidRPr="00384FC8">
              <w:t>1.3183</w:t>
            </w:r>
          </w:p>
        </w:tc>
        <w:tc>
          <w:tcPr>
            <w:tcW w:w="958" w:type="dxa"/>
            <w:vAlign w:val="center"/>
          </w:tcPr>
          <w:p w:rsidR="004F7BE3" w:rsidRPr="00384FC8" w:rsidRDefault="004F7BE3" w:rsidP="00910F09">
            <w:pPr>
              <w:keepNext/>
              <w:keepLines/>
              <w:jc w:val="center"/>
            </w:pPr>
            <w:r>
              <w:t>0.</w:t>
            </w:r>
            <w:r w:rsidRPr="00384FC8">
              <w:t>16</w:t>
            </w:r>
          </w:p>
        </w:tc>
        <w:tc>
          <w:tcPr>
            <w:tcW w:w="957" w:type="dxa"/>
            <w:vAlign w:val="center"/>
          </w:tcPr>
          <w:p w:rsidR="004F7BE3" w:rsidRPr="00384FC8" w:rsidRDefault="004F7BE3" w:rsidP="00910F09">
            <w:pPr>
              <w:keepNext/>
              <w:keepLines/>
              <w:jc w:val="center"/>
            </w:pPr>
            <w:r w:rsidRPr="00384FC8">
              <w:t>1.3082</w:t>
            </w:r>
          </w:p>
        </w:tc>
        <w:tc>
          <w:tcPr>
            <w:tcW w:w="957" w:type="dxa"/>
            <w:vAlign w:val="center"/>
          </w:tcPr>
          <w:p w:rsidR="004F7BE3" w:rsidRPr="00384FC8" w:rsidRDefault="004F7BE3" w:rsidP="00910F09">
            <w:pPr>
              <w:keepNext/>
              <w:keepLines/>
              <w:jc w:val="center"/>
            </w:pPr>
            <w:r>
              <w:t>0.</w:t>
            </w:r>
            <w:r w:rsidRPr="00384FC8">
              <w:t>14</w:t>
            </w:r>
          </w:p>
        </w:tc>
        <w:tc>
          <w:tcPr>
            <w:tcW w:w="957" w:type="dxa"/>
            <w:vAlign w:val="center"/>
          </w:tcPr>
          <w:p w:rsidR="004F7BE3" w:rsidRPr="00384FC8" w:rsidRDefault="004F7BE3" w:rsidP="00910F09">
            <w:pPr>
              <w:keepNext/>
              <w:keepLines/>
              <w:jc w:val="center"/>
            </w:pPr>
            <w:r w:rsidRPr="00384FC8">
              <w:t>1.2193</w:t>
            </w:r>
          </w:p>
        </w:tc>
        <w:tc>
          <w:tcPr>
            <w:tcW w:w="958" w:type="dxa"/>
            <w:vAlign w:val="center"/>
          </w:tcPr>
          <w:p w:rsidR="004F7BE3" w:rsidRPr="00384FC8" w:rsidRDefault="004F7BE3" w:rsidP="00910F09">
            <w:pPr>
              <w:keepNext/>
              <w:keepLines/>
              <w:jc w:val="center"/>
            </w:pPr>
            <w:r>
              <w:t>0.</w:t>
            </w:r>
            <w:r w:rsidRPr="00384FC8">
              <w:t>12</w:t>
            </w:r>
          </w:p>
        </w:tc>
      </w:tr>
      <w:tr w:rsidR="004F7BE3" w:rsidTr="00910F09">
        <w:tc>
          <w:tcPr>
            <w:tcW w:w="1414" w:type="dxa"/>
            <w:vAlign w:val="center"/>
          </w:tcPr>
          <w:p w:rsidR="004F7BE3" w:rsidRPr="00384FC8" w:rsidRDefault="004F7BE3" w:rsidP="00910F09">
            <w:pPr>
              <w:keepNext/>
              <w:keepLines/>
              <w:spacing w:beforeLines="20" w:before="48" w:afterLines="20" w:after="48"/>
              <w:rPr>
                <w:lang w:val="en-US"/>
              </w:rPr>
            </w:pPr>
            <w:proofErr w:type="spellStart"/>
            <w:r w:rsidRPr="00384FC8">
              <w:rPr>
                <w:i/>
                <w:lang w:val="en-US"/>
              </w:rPr>
              <w:t>k</w:t>
            </w:r>
            <w:r w:rsidRPr="00384FC8">
              <w:rPr>
                <w:vertAlign w:val="subscript"/>
                <w:lang w:val="en-US"/>
              </w:rPr>
              <w:t>MC</w:t>
            </w:r>
            <w:proofErr w:type="spellEnd"/>
          </w:p>
        </w:tc>
        <w:tc>
          <w:tcPr>
            <w:tcW w:w="957" w:type="dxa"/>
            <w:vAlign w:val="center"/>
          </w:tcPr>
          <w:p w:rsidR="004F7BE3" w:rsidRPr="00384FC8" w:rsidRDefault="00047F4B" w:rsidP="00910F09">
            <w:pPr>
              <w:keepNext/>
              <w:keepLines/>
              <w:jc w:val="center"/>
            </w:pPr>
            <w:r>
              <w:t>1.0048</w:t>
            </w:r>
          </w:p>
        </w:tc>
        <w:tc>
          <w:tcPr>
            <w:tcW w:w="957" w:type="dxa"/>
            <w:vAlign w:val="center"/>
          </w:tcPr>
          <w:p w:rsidR="004F7BE3" w:rsidRPr="00384FC8" w:rsidRDefault="004F7BE3" w:rsidP="00910F09">
            <w:pPr>
              <w:keepNext/>
              <w:keepLines/>
              <w:jc w:val="center"/>
            </w:pPr>
            <w:r>
              <w:t>0.</w:t>
            </w:r>
            <w:r w:rsidRPr="00384FC8">
              <w:t>14</w:t>
            </w:r>
          </w:p>
        </w:tc>
        <w:tc>
          <w:tcPr>
            <w:tcW w:w="957" w:type="dxa"/>
            <w:vAlign w:val="center"/>
          </w:tcPr>
          <w:p w:rsidR="004F7BE3" w:rsidRPr="00384FC8" w:rsidRDefault="00047F4B" w:rsidP="00910F09">
            <w:pPr>
              <w:keepNext/>
              <w:keepLines/>
              <w:jc w:val="center"/>
            </w:pPr>
            <w:r>
              <w:t>1.0130</w:t>
            </w:r>
          </w:p>
        </w:tc>
        <w:tc>
          <w:tcPr>
            <w:tcW w:w="958" w:type="dxa"/>
            <w:vAlign w:val="center"/>
          </w:tcPr>
          <w:p w:rsidR="004F7BE3" w:rsidRPr="00384FC8" w:rsidRDefault="004F7BE3" w:rsidP="00910F09">
            <w:pPr>
              <w:keepNext/>
              <w:keepLines/>
              <w:jc w:val="center"/>
            </w:pPr>
            <w:r>
              <w:t>0.</w:t>
            </w:r>
            <w:r w:rsidRPr="00384FC8">
              <w:t>18</w:t>
            </w:r>
          </w:p>
        </w:tc>
        <w:tc>
          <w:tcPr>
            <w:tcW w:w="957" w:type="dxa"/>
            <w:vAlign w:val="center"/>
          </w:tcPr>
          <w:p w:rsidR="004F7BE3" w:rsidRPr="00384FC8" w:rsidRDefault="004F7BE3" w:rsidP="00910F09">
            <w:pPr>
              <w:keepNext/>
              <w:keepLines/>
              <w:jc w:val="center"/>
            </w:pPr>
            <w:r w:rsidRPr="00384FC8">
              <w:t>1.0148</w:t>
            </w:r>
          </w:p>
        </w:tc>
        <w:tc>
          <w:tcPr>
            <w:tcW w:w="957" w:type="dxa"/>
            <w:vAlign w:val="center"/>
          </w:tcPr>
          <w:p w:rsidR="004F7BE3" w:rsidRPr="00384FC8" w:rsidRDefault="004F7BE3" w:rsidP="00910F09">
            <w:pPr>
              <w:keepNext/>
              <w:keepLines/>
              <w:jc w:val="center"/>
            </w:pPr>
            <w:r>
              <w:t>0.</w:t>
            </w:r>
            <w:r w:rsidRPr="00384FC8">
              <w:t>16</w:t>
            </w:r>
          </w:p>
        </w:tc>
        <w:tc>
          <w:tcPr>
            <w:tcW w:w="957" w:type="dxa"/>
            <w:vAlign w:val="center"/>
          </w:tcPr>
          <w:p w:rsidR="004F7BE3" w:rsidRPr="00384FC8" w:rsidRDefault="004F7BE3" w:rsidP="00910F09">
            <w:pPr>
              <w:keepNext/>
              <w:keepLines/>
              <w:jc w:val="center"/>
            </w:pPr>
            <w:r w:rsidRPr="00384FC8">
              <w:t>1.0136</w:t>
            </w:r>
          </w:p>
        </w:tc>
        <w:tc>
          <w:tcPr>
            <w:tcW w:w="958" w:type="dxa"/>
            <w:vAlign w:val="center"/>
          </w:tcPr>
          <w:p w:rsidR="004F7BE3" w:rsidRPr="00384FC8" w:rsidRDefault="004F7BE3" w:rsidP="00910F09">
            <w:pPr>
              <w:keepNext/>
              <w:keepLines/>
              <w:jc w:val="center"/>
            </w:pPr>
            <w:r>
              <w:t>0.</w:t>
            </w:r>
            <w:r w:rsidRPr="00384FC8">
              <w:t>14</w:t>
            </w:r>
          </w:p>
        </w:tc>
      </w:tr>
      <w:tr w:rsidR="004F7BE3" w:rsidTr="00910F09">
        <w:tc>
          <w:tcPr>
            <w:tcW w:w="1414" w:type="dxa"/>
            <w:vAlign w:val="center"/>
          </w:tcPr>
          <w:p w:rsidR="004F7BE3" w:rsidRPr="00384FC8" w:rsidRDefault="004F7BE3" w:rsidP="00910F09">
            <w:pPr>
              <w:keepNext/>
              <w:keepLines/>
              <w:spacing w:beforeLines="20" w:before="48" w:afterLines="20" w:after="48"/>
              <w:rPr>
                <w:i/>
                <w:lang w:val="en-US"/>
              </w:rPr>
            </w:pPr>
            <w:r w:rsidRPr="00384FC8">
              <w:rPr>
                <w:i/>
                <w:lang w:val="en-US"/>
              </w:rPr>
              <w:t>PTW30013</w:t>
            </w:r>
          </w:p>
        </w:tc>
        <w:tc>
          <w:tcPr>
            <w:tcW w:w="957" w:type="dxa"/>
            <w:tcBorders>
              <w:right w:val="nil"/>
            </w:tcBorders>
            <w:vAlign w:val="center"/>
          </w:tcPr>
          <w:p w:rsidR="004F7BE3" w:rsidRPr="00384FC8" w:rsidRDefault="004F7BE3" w:rsidP="00910F09">
            <w:pPr>
              <w:keepNext/>
              <w:keepLines/>
              <w:jc w:val="center"/>
            </w:pPr>
          </w:p>
        </w:tc>
        <w:tc>
          <w:tcPr>
            <w:tcW w:w="957" w:type="dxa"/>
            <w:tcBorders>
              <w:left w:val="nil"/>
              <w:right w:val="nil"/>
            </w:tcBorders>
            <w:vAlign w:val="center"/>
          </w:tcPr>
          <w:p w:rsidR="004F7BE3" w:rsidRPr="00384FC8" w:rsidRDefault="004F7BE3" w:rsidP="00910F09">
            <w:pPr>
              <w:keepNext/>
              <w:keepLines/>
              <w:jc w:val="center"/>
            </w:pPr>
          </w:p>
        </w:tc>
        <w:tc>
          <w:tcPr>
            <w:tcW w:w="957" w:type="dxa"/>
            <w:tcBorders>
              <w:left w:val="nil"/>
              <w:right w:val="nil"/>
            </w:tcBorders>
            <w:vAlign w:val="center"/>
          </w:tcPr>
          <w:p w:rsidR="004F7BE3" w:rsidRPr="00384FC8" w:rsidRDefault="004F7BE3" w:rsidP="00910F09">
            <w:pPr>
              <w:keepNext/>
              <w:keepLines/>
              <w:jc w:val="center"/>
            </w:pPr>
          </w:p>
        </w:tc>
        <w:tc>
          <w:tcPr>
            <w:tcW w:w="958" w:type="dxa"/>
            <w:tcBorders>
              <w:left w:val="nil"/>
              <w:right w:val="nil"/>
            </w:tcBorders>
            <w:vAlign w:val="center"/>
          </w:tcPr>
          <w:p w:rsidR="004F7BE3" w:rsidRPr="00384FC8" w:rsidRDefault="004F7BE3" w:rsidP="00910F09">
            <w:pPr>
              <w:keepNext/>
              <w:keepLines/>
              <w:jc w:val="center"/>
            </w:pPr>
          </w:p>
        </w:tc>
        <w:tc>
          <w:tcPr>
            <w:tcW w:w="957" w:type="dxa"/>
            <w:tcBorders>
              <w:left w:val="nil"/>
              <w:right w:val="nil"/>
            </w:tcBorders>
            <w:vAlign w:val="center"/>
          </w:tcPr>
          <w:p w:rsidR="004F7BE3" w:rsidRPr="00384FC8" w:rsidRDefault="004F7BE3" w:rsidP="00910F09">
            <w:pPr>
              <w:keepNext/>
              <w:keepLines/>
              <w:jc w:val="center"/>
            </w:pPr>
          </w:p>
        </w:tc>
        <w:tc>
          <w:tcPr>
            <w:tcW w:w="957" w:type="dxa"/>
            <w:tcBorders>
              <w:left w:val="nil"/>
              <w:right w:val="nil"/>
            </w:tcBorders>
            <w:vAlign w:val="center"/>
          </w:tcPr>
          <w:p w:rsidR="004F7BE3" w:rsidRPr="00384FC8" w:rsidRDefault="004F7BE3" w:rsidP="00910F09">
            <w:pPr>
              <w:keepNext/>
              <w:keepLines/>
              <w:jc w:val="center"/>
            </w:pPr>
          </w:p>
        </w:tc>
        <w:tc>
          <w:tcPr>
            <w:tcW w:w="957" w:type="dxa"/>
            <w:tcBorders>
              <w:left w:val="nil"/>
              <w:right w:val="nil"/>
            </w:tcBorders>
            <w:vAlign w:val="center"/>
          </w:tcPr>
          <w:p w:rsidR="004F7BE3" w:rsidRPr="00384FC8" w:rsidRDefault="004F7BE3" w:rsidP="00910F09">
            <w:pPr>
              <w:keepNext/>
              <w:keepLines/>
              <w:jc w:val="center"/>
            </w:pPr>
          </w:p>
        </w:tc>
        <w:tc>
          <w:tcPr>
            <w:tcW w:w="958" w:type="dxa"/>
            <w:tcBorders>
              <w:left w:val="nil"/>
            </w:tcBorders>
            <w:vAlign w:val="center"/>
          </w:tcPr>
          <w:p w:rsidR="004F7BE3" w:rsidRPr="00384FC8" w:rsidRDefault="004F7BE3" w:rsidP="00910F09">
            <w:pPr>
              <w:keepNext/>
              <w:keepLines/>
              <w:jc w:val="center"/>
            </w:pPr>
          </w:p>
        </w:tc>
      </w:tr>
      <w:tr w:rsidR="004F7BE3" w:rsidTr="00910F09">
        <w:tc>
          <w:tcPr>
            <w:tcW w:w="1414" w:type="dxa"/>
            <w:vAlign w:val="center"/>
          </w:tcPr>
          <w:p w:rsidR="004F7BE3" w:rsidRPr="00384FC8" w:rsidRDefault="00D240B3" w:rsidP="00910F09">
            <w:pPr>
              <w:keepNext/>
              <w:keepLines/>
              <w:spacing w:beforeLines="20" w:before="48" w:afterLines="20" w:after="48"/>
              <w:rPr>
                <w:lang w:val="en-US"/>
              </w:rPr>
            </w:pPr>
            <w:proofErr w:type="spellStart"/>
            <w:r>
              <w:rPr>
                <w:i/>
                <w:lang w:val="en-US"/>
              </w:rPr>
              <w:t>Q</w:t>
            </w:r>
            <w:r w:rsidR="004F7BE3" w:rsidRPr="00384FC8">
              <w:rPr>
                <w:vertAlign w:val="subscript"/>
                <w:lang w:val="en-US"/>
              </w:rPr>
              <w:t>w</w:t>
            </w:r>
            <w:proofErr w:type="spellEnd"/>
            <w:r w:rsidR="004F7BE3" w:rsidRPr="00384FC8">
              <w:rPr>
                <w:lang w:val="en-US"/>
              </w:rPr>
              <w:t>/</w:t>
            </w:r>
            <w:proofErr w:type="spellStart"/>
            <w:r>
              <w:rPr>
                <w:i/>
                <w:lang w:val="en-US"/>
              </w:rPr>
              <w:t>Q</w:t>
            </w:r>
            <w:r w:rsidR="004F7BE3" w:rsidRPr="00384FC8">
              <w:rPr>
                <w:vertAlign w:val="subscript"/>
                <w:lang w:val="en-US"/>
              </w:rPr>
              <w:t>air</w:t>
            </w:r>
            <w:proofErr w:type="spellEnd"/>
          </w:p>
        </w:tc>
        <w:tc>
          <w:tcPr>
            <w:tcW w:w="957" w:type="dxa"/>
            <w:vAlign w:val="center"/>
          </w:tcPr>
          <w:p w:rsidR="004F7BE3" w:rsidRPr="00384FC8" w:rsidRDefault="004F7BE3" w:rsidP="00910F09">
            <w:pPr>
              <w:keepNext/>
              <w:keepLines/>
              <w:jc w:val="center"/>
            </w:pPr>
            <w:r w:rsidRPr="00384FC8">
              <w:t>1.1331</w:t>
            </w:r>
          </w:p>
        </w:tc>
        <w:tc>
          <w:tcPr>
            <w:tcW w:w="957" w:type="dxa"/>
            <w:vAlign w:val="center"/>
          </w:tcPr>
          <w:p w:rsidR="004F7BE3" w:rsidRPr="00384FC8" w:rsidRDefault="004F7BE3" w:rsidP="00910F09">
            <w:pPr>
              <w:keepNext/>
              <w:keepLines/>
              <w:jc w:val="center"/>
            </w:pPr>
            <w:r>
              <w:t>0.</w:t>
            </w:r>
            <w:r w:rsidRPr="00384FC8">
              <w:t>06</w:t>
            </w:r>
          </w:p>
        </w:tc>
        <w:tc>
          <w:tcPr>
            <w:tcW w:w="957" w:type="dxa"/>
            <w:vAlign w:val="center"/>
          </w:tcPr>
          <w:p w:rsidR="004F7BE3" w:rsidRPr="00384FC8" w:rsidRDefault="004F7BE3" w:rsidP="00910F09">
            <w:pPr>
              <w:keepNext/>
              <w:keepLines/>
              <w:jc w:val="center"/>
            </w:pPr>
            <w:r w:rsidRPr="00384FC8">
              <w:t>1.3294</w:t>
            </w:r>
          </w:p>
        </w:tc>
        <w:tc>
          <w:tcPr>
            <w:tcW w:w="958" w:type="dxa"/>
            <w:vAlign w:val="center"/>
          </w:tcPr>
          <w:p w:rsidR="004F7BE3" w:rsidRPr="00384FC8" w:rsidRDefault="004F7BE3" w:rsidP="00910F09">
            <w:pPr>
              <w:keepNext/>
              <w:keepLines/>
              <w:jc w:val="center"/>
            </w:pPr>
            <w:r>
              <w:t>0.</w:t>
            </w:r>
            <w:r w:rsidRPr="00384FC8">
              <w:t>07</w:t>
            </w:r>
          </w:p>
        </w:tc>
        <w:tc>
          <w:tcPr>
            <w:tcW w:w="957" w:type="dxa"/>
            <w:vAlign w:val="center"/>
          </w:tcPr>
          <w:p w:rsidR="004F7BE3" w:rsidRPr="00384FC8" w:rsidRDefault="004F7BE3" w:rsidP="00910F09">
            <w:pPr>
              <w:keepNext/>
              <w:keepLines/>
              <w:jc w:val="center"/>
            </w:pPr>
            <w:r w:rsidRPr="00384FC8">
              <w:t>1.3237</w:t>
            </w:r>
          </w:p>
        </w:tc>
        <w:tc>
          <w:tcPr>
            <w:tcW w:w="957" w:type="dxa"/>
            <w:vAlign w:val="center"/>
          </w:tcPr>
          <w:p w:rsidR="004F7BE3" w:rsidRPr="00384FC8" w:rsidRDefault="004F7BE3" w:rsidP="00910F09">
            <w:pPr>
              <w:keepNext/>
              <w:keepLines/>
              <w:jc w:val="center"/>
            </w:pPr>
            <w:r>
              <w:t>0.</w:t>
            </w:r>
            <w:r w:rsidRPr="00384FC8">
              <w:t>05</w:t>
            </w:r>
          </w:p>
        </w:tc>
        <w:tc>
          <w:tcPr>
            <w:tcW w:w="957" w:type="dxa"/>
            <w:vAlign w:val="center"/>
          </w:tcPr>
          <w:p w:rsidR="004F7BE3" w:rsidRPr="00384FC8" w:rsidRDefault="004F7BE3" w:rsidP="00910F09">
            <w:pPr>
              <w:keepNext/>
              <w:keepLines/>
              <w:jc w:val="center"/>
            </w:pPr>
            <w:r w:rsidRPr="00384FC8">
              <w:t>1.2355</w:t>
            </w:r>
          </w:p>
        </w:tc>
        <w:tc>
          <w:tcPr>
            <w:tcW w:w="958" w:type="dxa"/>
            <w:vAlign w:val="center"/>
          </w:tcPr>
          <w:p w:rsidR="004F7BE3" w:rsidRPr="00384FC8" w:rsidRDefault="004F7BE3" w:rsidP="00910F09">
            <w:pPr>
              <w:keepNext/>
              <w:keepLines/>
              <w:jc w:val="center"/>
            </w:pPr>
            <w:r>
              <w:t>0.</w:t>
            </w:r>
            <w:r w:rsidRPr="00384FC8">
              <w:t>02</w:t>
            </w:r>
          </w:p>
        </w:tc>
      </w:tr>
      <w:tr w:rsidR="004F7BE3" w:rsidTr="00910F09">
        <w:tc>
          <w:tcPr>
            <w:tcW w:w="1414" w:type="dxa"/>
            <w:vAlign w:val="center"/>
          </w:tcPr>
          <w:p w:rsidR="004F7BE3" w:rsidRPr="00384FC8" w:rsidRDefault="004F7BE3" w:rsidP="00910F09">
            <w:pPr>
              <w:keepNext/>
              <w:keepLines/>
              <w:spacing w:beforeLines="20" w:before="48" w:afterLines="20" w:after="48"/>
              <w:rPr>
                <w:lang w:val="en-US"/>
              </w:rPr>
            </w:pPr>
            <w:proofErr w:type="spellStart"/>
            <w:r w:rsidRPr="00384FC8">
              <w:rPr>
                <w:i/>
                <w:lang w:val="en-US"/>
              </w:rPr>
              <w:t>D</w:t>
            </w:r>
            <w:r w:rsidRPr="00384FC8">
              <w:rPr>
                <w:vertAlign w:val="subscript"/>
                <w:lang w:val="en-US"/>
              </w:rPr>
              <w:t>cav,w</w:t>
            </w:r>
            <w:proofErr w:type="spellEnd"/>
            <w:r w:rsidRPr="00384FC8">
              <w:rPr>
                <w:lang w:val="en-US"/>
              </w:rPr>
              <w:t>/</w:t>
            </w:r>
            <w:proofErr w:type="spellStart"/>
            <w:r w:rsidRPr="00384FC8">
              <w:rPr>
                <w:i/>
                <w:lang w:val="en-US"/>
              </w:rPr>
              <w:t>D</w:t>
            </w:r>
            <w:r w:rsidRPr="00384FC8">
              <w:rPr>
                <w:vertAlign w:val="subscript"/>
                <w:lang w:val="en-US"/>
              </w:rPr>
              <w:t>cav,air</w:t>
            </w:r>
            <w:proofErr w:type="spellEnd"/>
          </w:p>
        </w:tc>
        <w:tc>
          <w:tcPr>
            <w:tcW w:w="957" w:type="dxa"/>
            <w:vAlign w:val="center"/>
          </w:tcPr>
          <w:p w:rsidR="004F7BE3" w:rsidRPr="00384FC8" w:rsidRDefault="004F7BE3" w:rsidP="00910F09">
            <w:pPr>
              <w:keepNext/>
              <w:keepLines/>
              <w:jc w:val="center"/>
            </w:pPr>
            <w:r w:rsidRPr="00384FC8">
              <w:t>1.1286</w:t>
            </w:r>
          </w:p>
        </w:tc>
        <w:tc>
          <w:tcPr>
            <w:tcW w:w="957" w:type="dxa"/>
            <w:vAlign w:val="center"/>
          </w:tcPr>
          <w:p w:rsidR="004F7BE3" w:rsidRPr="00384FC8" w:rsidRDefault="004F7BE3" w:rsidP="00910F09">
            <w:pPr>
              <w:keepNext/>
              <w:keepLines/>
              <w:jc w:val="center"/>
            </w:pPr>
            <w:r>
              <w:t>0.</w:t>
            </w:r>
            <w:r w:rsidRPr="00384FC8">
              <w:t>16</w:t>
            </w:r>
          </w:p>
        </w:tc>
        <w:tc>
          <w:tcPr>
            <w:tcW w:w="957" w:type="dxa"/>
            <w:vAlign w:val="center"/>
          </w:tcPr>
          <w:p w:rsidR="004F7BE3" w:rsidRPr="00384FC8" w:rsidRDefault="004F7BE3" w:rsidP="00910F09">
            <w:pPr>
              <w:keepNext/>
              <w:keepLines/>
              <w:jc w:val="center"/>
            </w:pPr>
            <w:r w:rsidRPr="00384FC8">
              <w:t>1.3139</w:t>
            </w:r>
          </w:p>
        </w:tc>
        <w:tc>
          <w:tcPr>
            <w:tcW w:w="958" w:type="dxa"/>
            <w:vAlign w:val="center"/>
          </w:tcPr>
          <w:p w:rsidR="004F7BE3" w:rsidRPr="00384FC8" w:rsidRDefault="004F7BE3" w:rsidP="00910F09">
            <w:pPr>
              <w:keepNext/>
              <w:keepLines/>
              <w:jc w:val="center"/>
            </w:pPr>
            <w:r>
              <w:t>0.</w:t>
            </w:r>
            <w:r w:rsidRPr="00384FC8">
              <w:t>22</w:t>
            </w:r>
          </w:p>
        </w:tc>
        <w:tc>
          <w:tcPr>
            <w:tcW w:w="957" w:type="dxa"/>
            <w:vAlign w:val="center"/>
          </w:tcPr>
          <w:p w:rsidR="004F7BE3" w:rsidRPr="00384FC8" w:rsidRDefault="004F7BE3" w:rsidP="00910F09">
            <w:pPr>
              <w:keepNext/>
              <w:keepLines/>
              <w:jc w:val="center"/>
            </w:pPr>
            <w:r w:rsidRPr="00384FC8">
              <w:t>1.2987</w:t>
            </w:r>
          </w:p>
        </w:tc>
        <w:tc>
          <w:tcPr>
            <w:tcW w:w="957" w:type="dxa"/>
            <w:vAlign w:val="center"/>
          </w:tcPr>
          <w:p w:rsidR="004F7BE3" w:rsidRPr="00384FC8" w:rsidRDefault="004F7BE3" w:rsidP="00910F09">
            <w:pPr>
              <w:keepNext/>
              <w:keepLines/>
              <w:jc w:val="center"/>
            </w:pPr>
            <w:r>
              <w:t>0.</w:t>
            </w:r>
            <w:r w:rsidRPr="00384FC8">
              <w:t>17</w:t>
            </w:r>
          </w:p>
        </w:tc>
        <w:tc>
          <w:tcPr>
            <w:tcW w:w="957" w:type="dxa"/>
            <w:vAlign w:val="center"/>
          </w:tcPr>
          <w:p w:rsidR="004F7BE3" w:rsidRPr="00384FC8" w:rsidRDefault="004F7BE3" w:rsidP="00910F09">
            <w:pPr>
              <w:keepNext/>
              <w:keepLines/>
              <w:jc w:val="center"/>
            </w:pPr>
            <w:r w:rsidRPr="00384FC8">
              <w:t>1.2138</w:t>
            </w:r>
          </w:p>
        </w:tc>
        <w:tc>
          <w:tcPr>
            <w:tcW w:w="958" w:type="dxa"/>
            <w:vAlign w:val="center"/>
          </w:tcPr>
          <w:p w:rsidR="004F7BE3" w:rsidRPr="00384FC8" w:rsidRDefault="004F7BE3" w:rsidP="00910F09">
            <w:pPr>
              <w:keepNext/>
              <w:keepLines/>
              <w:jc w:val="center"/>
            </w:pPr>
            <w:r>
              <w:t>0.</w:t>
            </w:r>
            <w:r w:rsidRPr="00384FC8">
              <w:t>15</w:t>
            </w:r>
          </w:p>
        </w:tc>
      </w:tr>
      <w:tr w:rsidR="004F7BE3" w:rsidTr="00910F09">
        <w:tc>
          <w:tcPr>
            <w:tcW w:w="1414" w:type="dxa"/>
            <w:vAlign w:val="center"/>
          </w:tcPr>
          <w:p w:rsidR="004F7BE3" w:rsidRPr="00384FC8" w:rsidRDefault="004F7BE3" w:rsidP="00910F09">
            <w:pPr>
              <w:keepNext/>
              <w:keepLines/>
              <w:spacing w:beforeLines="20" w:before="48" w:afterLines="20" w:after="48"/>
              <w:rPr>
                <w:lang w:val="en-US"/>
              </w:rPr>
            </w:pPr>
            <w:proofErr w:type="spellStart"/>
            <w:r w:rsidRPr="00384FC8">
              <w:rPr>
                <w:i/>
                <w:lang w:val="en-US"/>
              </w:rPr>
              <w:t>k</w:t>
            </w:r>
            <w:r w:rsidRPr="00384FC8">
              <w:rPr>
                <w:vertAlign w:val="subscript"/>
                <w:lang w:val="en-US"/>
              </w:rPr>
              <w:t>MC</w:t>
            </w:r>
            <w:proofErr w:type="spellEnd"/>
          </w:p>
        </w:tc>
        <w:tc>
          <w:tcPr>
            <w:tcW w:w="957" w:type="dxa"/>
            <w:vAlign w:val="center"/>
          </w:tcPr>
          <w:p w:rsidR="004F7BE3" w:rsidRPr="00384FC8" w:rsidRDefault="004F7BE3" w:rsidP="00910F09">
            <w:pPr>
              <w:keepNext/>
              <w:keepLines/>
              <w:jc w:val="center"/>
            </w:pPr>
            <w:r w:rsidRPr="00384FC8">
              <w:t>1.0040</w:t>
            </w:r>
          </w:p>
        </w:tc>
        <w:tc>
          <w:tcPr>
            <w:tcW w:w="957" w:type="dxa"/>
            <w:vAlign w:val="center"/>
          </w:tcPr>
          <w:p w:rsidR="004F7BE3" w:rsidRPr="00384FC8" w:rsidRDefault="004F7BE3" w:rsidP="00910F09">
            <w:pPr>
              <w:keepNext/>
              <w:keepLines/>
              <w:jc w:val="center"/>
            </w:pPr>
            <w:r>
              <w:t>0.</w:t>
            </w:r>
            <w:r w:rsidRPr="00384FC8">
              <w:t>17</w:t>
            </w:r>
          </w:p>
        </w:tc>
        <w:tc>
          <w:tcPr>
            <w:tcW w:w="957" w:type="dxa"/>
            <w:vAlign w:val="center"/>
          </w:tcPr>
          <w:p w:rsidR="004F7BE3" w:rsidRPr="00384FC8" w:rsidRDefault="004F7BE3" w:rsidP="00910F09">
            <w:pPr>
              <w:keepNext/>
              <w:keepLines/>
              <w:jc w:val="center"/>
            </w:pPr>
            <w:r w:rsidRPr="00384FC8">
              <w:t>1.0118</w:t>
            </w:r>
          </w:p>
        </w:tc>
        <w:tc>
          <w:tcPr>
            <w:tcW w:w="958" w:type="dxa"/>
            <w:vAlign w:val="center"/>
          </w:tcPr>
          <w:p w:rsidR="004F7BE3" w:rsidRPr="00384FC8" w:rsidRDefault="004F7BE3" w:rsidP="00910F09">
            <w:pPr>
              <w:keepNext/>
              <w:keepLines/>
              <w:jc w:val="center"/>
            </w:pPr>
            <w:r>
              <w:t>0.</w:t>
            </w:r>
            <w:r w:rsidRPr="00384FC8">
              <w:t>23</w:t>
            </w:r>
          </w:p>
        </w:tc>
        <w:tc>
          <w:tcPr>
            <w:tcW w:w="957" w:type="dxa"/>
            <w:vAlign w:val="center"/>
          </w:tcPr>
          <w:p w:rsidR="004F7BE3" w:rsidRPr="00384FC8" w:rsidRDefault="00047F4B" w:rsidP="00910F09">
            <w:pPr>
              <w:keepNext/>
              <w:keepLines/>
              <w:jc w:val="center"/>
            </w:pPr>
            <w:r>
              <w:t>1.0193</w:t>
            </w:r>
          </w:p>
        </w:tc>
        <w:tc>
          <w:tcPr>
            <w:tcW w:w="957" w:type="dxa"/>
            <w:vAlign w:val="center"/>
          </w:tcPr>
          <w:p w:rsidR="004F7BE3" w:rsidRPr="00384FC8" w:rsidRDefault="004F7BE3" w:rsidP="00910F09">
            <w:pPr>
              <w:keepNext/>
              <w:keepLines/>
              <w:jc w:val="center"/>
            </w:pPr>
            <w:r>
              <w:t>0.</w:t>
            </w:r>
            <w:r w:rsidRPr="00384FC8">
              <w:t>18</w:t>
            </w:r>
          </w:p>
        </w:tc>
        <w:tc>
          <w:tcPr>
            <w:tcW w:w="957" w:type="dxa"/>
            <w:vAlign w:val="center"/>
          </w:tcPr>
          <w:p w:rsidR="004F7BE3" w:rsidRPr="00384FC8" w:rsidRDefault="00047F4B" w:rsidP="00910F09">
            <w:pPr>
              <w:keepNext/>
              <w:keepLines/>
              <w:jc w:val="center"/>
            </w:pPr>
            <w:r>
              <w:t>1.0179</w:t>
            </w:r>
          </w:p>
        </w:tc>
        <w:tc>
          <w:tcPr>
            <w:tcW w:w="958" w:type="dxa"/>
            <w:vAlign w:val="center"/>
          </w:tcPr>
          <w:p w:rsidR="004F7BE3" w:rsidRPr="00384FC8" w:rsidRDefault="004F7BE3" w:rsidP="00910F09">
            <w:pPr>
              <w:keepNext/>
              <w:keepLines/>
              <w:jc w:val="center"/>
            </w:pPr>
            <w:r>
              <w:t>0.</w:t>
            </w:r>
            <w:r w:rsidRPr="00384FC8">
              <w:t>15</w:t>
            </w:r>
          </w:p>
        </w:tc>
      </w:tr>
    </w:tbl>
    <w:p w:rsidR="004F7BE3" w:rsidRDefault="004F7BE3" w:rsidP="008B10CB">
      <w:pPr>
        <w:spacing w:after="0"/>
        <w:rPr>
          <w:sz w:val="24"/>
          <w:szCs w:val="24"/>
          <w:lang w:val="en-US"/>
        </w:rPr>
      </w:pPr>
    </w:p>
    <w:p w:rsidR="00C02666" w:rsidRDefault="00DF1D99">
      <w:pPr>
        <w:rPr>
          <w:sz w:val="24"/>
          <w:szCs w:val="24"/>
          <w:lang w:val="en-US"/>
        </w:rPr>
      </w:pPr>
      <w:r>
        <w:rPr>
          <w:sz w:val="24"/>
          <w:szCs w:val="24"/>
          <w:lang w:val="en-US"/>
        </w:rPr>
        <w:t xml:space="preserve">More important is any difference in </w:t>
      </w:r>
      <w:proofErr w:type="spellStart"/>
      <w:r w:rsidRPr="00DF1D99">
        <w:rPr>
          <w:i/>
          <w:sz w:val="24"/>
          <w:szCs w:val="24"/>
          <w:lang w:val="en-US"/>
        </w:rPr>
        <w:t>k</w:t>
      </w:r>
      <w:r w:rsidRPr="00DF1D99">
        <w:rPr>
          <w:sz w:val="24"/>
          <w:szCs w:val="24"/>
          <w:vertAlign w:val="subscript"/>
          <w:lang w:val="en-US"/>
        </w:rPr>
        <w:t>MC</w:t>
      </w:r>
      <w:proofErr w:type="spellEnd"/>
      <w:r>
        <w:rPr>
          <w:sz w:val="24"/>
          <w:szCs w:val="24"/>
          <w:lang w:val="en-US"/>
        </w:rPr>
        <w:t xml:space="preserve"> for the two transfer chamber types, for a given beam quality</w:t>
      </w:r>
      <w:r w:rsidR="004F7BE3">
        <w:rPr>
          <w:sz w:val="24"/>
          <w:szCs w:val="24"/>
          <w:lang w:val="en-US"/>
        </w:rPr>
        <w:t xml:space="preserve">, </w:t>
      </w:r>
      <w:r w:rsidR="00F25D42">
        <w:rPr>
          <w:sz w:val="24"/>
          <w:szCs w:val="24"/>
          <w:lang w:val="en-US"/>
        </w:rPr>
        <w:t xml:space="preserve">because such a difference </w:t>
      </w:r>
      <w:r w:rsidR="004F7BE3">
        <w:rPr>
          <w:sz w:val="24"/>
          <w:szCs w:val="24"/>
          <w:lang w:val="en-US"/>
        </w:rPr>
        <w:t>cannot be explained as above</w:t>
      </w:r>
      <w:r>
        <w:rPr>
          <w:sz w:val="24"/>
          <w:szCs w:val="24"/>
          <w:lang w:val="en-US"/>
        </w:rPr>
        <w:t>.</w:t>
      </w:r>
      <w:r w:rsidR="009212D3">
        <w:rPr>
          <w:sz w:val="24"/>
          <w:szCs w:val="24"/>
          <w:lang w:val="en-US"/>
        </w:rPr>
        <w:t xml:space="preserve"> </w:t>
      </w:r>
      <w:r w:rsidR="005F0159">
        <w:rPr>
          <w:sz w:val="24"/>
          <w:szCs w:val="24"/>
          <w:lang w:val="en-US"/>
        </w:rPr>
        <w:t>Table 3</w:t>
      </w:r>
      <w:r w:rsidR="003C08CC">
        <w:rPr>
          <w:sz w:val="24"/>
          <w:szCs w:val="24"/>
          <w:lang w:val="en-US"/>
        </w:rPr>
        <w:t xml:space="preserve"> shows deviations larger than the combined statistical uncertainties for two qualities, 180 kV and 250 kV. The additional uncertainty required to render the data set consistent is around 0.25 %, which provides an </w:t>
      </w:r>
      <w:r w:rsidR="003516BB">
        <w:rPr>
          <w:sz w:val="24"/>
          <w:szCs w:val="24"/>
          <w:lang w:val="en-US"/>
        </w:rPr>
        <w:t>estimate</w:t>
      </w:r>
      <w:r w:rsidR="003C08CC">
        <w:rPr>
          <w:sz w:val="24"/>
          <w:szCs w:val="24"/>
          <w:lang w:val="en-US"/>
        </w:rPr>
        <w:t xml:space="preserve"> for effects related to cha</w:t>
      </w:r>
      <w:r w:rsidR="003516BB">
        <w:rPr>
          <w:sz w:val="24"/>
          <w:szCs w:val="24"/>
          <w:lang w:val="en-US"/>
        </w:rPr>
        <w:t>mber geometry</w:t>
      </w:r>
      <w:r w:rsidR="003C08CC">
        <w:rPr>
          <w:sz w:val="24"/>
          <w:szCs w:val="24"/>
          <w:lang w:val="en-US"/>
        </w:rPr>
        <w:t>.</w:t>
      </w:r>
    </w:p>
    <w:p w:rsidR="003B546C" w:rsidRDefault="003C08CC" w:rsidP="003B546C">
      <w:pPr>
        <w:rPr>
          <w:sz w:val="24"/>
          <w:szCs w:val="24"/>
          <w:lang w:val="en-US"/>
        </w:rPr>
      </w:pPr>
      <w:r>
        <w:rPr>
          <w:sz w:val="24"/>
          <w:szCs w:val="24"/>
          <w:lang w:val="en-US"/>
        </w:rPr>
        <w:t>The most sensitive elements of the chamber simulations are likely to be the dimensions and materials of the central collector</w:t>
      </w:r>
      <w:r w:rsidR="003516BB">
        <w:rPr>
          <w:sz w:val="24"/>
          <w:szCs w:val="24"/>
          <w:lang w:val="en-US"/>
        </w:rPr>
        <w:t xml:space="preserve"> and chamber wall</w:t>
      </w:r>
      <w:r>
        <w:rPr>
          <w:sz w:val="24"/>
          <w:szCs w:val="24"/>
          <w:lang w:val="en-US"/>
        </w:rPr>
        <w:t xml:space="preserve">. </w:t>
      </w:r>
      <w:r w:rsidR="007F1698">
        <w:rPr>
          <w:sz w:val="24"/>
          <w:szCs w:val="24"/>
          <w:lang w:val="en-US"/>
        </w:rPr>
        <w:t>Additional calculations were made fo</w:t>
      </w:r>
      <w:r w:rsidR="009E6DCC">
        <w:rPr>
          <w:sz w:val="24"/>
          <w:szCs w:val="24"/>
          <w:lang w:val="en-US"/>
        </w:rPr>
        <w:t>r</w:t>
      </w:r>
      <w:r w:rsidR="00D240B3">
        <w:rPr>
          <w:sz w:val="24"/>
          <w:szCs w:val="24"/>
          <w:lang w:val="en-US"/>
        </w:rPr>
        <w:t xml:space="preserve"> the</w:t>
      </w:r>
      <w:r w:rsidR="005D6E66">
        <w:rPr>
          <w:sz w:val="24"/>
          <w:szCs w:val="24"/>
          <w:lang w:val="en-US"/>
        </w:rPr>
        <w:t xml:space="preserve"> PTW30013</w:t>
      </w:r>
      <w:r w:rsidR="004F7BE3">
        <w:rPr>
          <w:sz w:val="24"/>
          <w:szCs w:val="24"/>
          <w:lang w:val="en-US"/>
        </w:rPr>
        <w:t xml:space="preserve"> chamber </w:t>
      </w:r>
      <w:r w:rsidR="009E6DCC">
        <w:rPr>
          <w:sz w:val="24"/>
          <w:szCs w:val="24"/>
          <w:lang w:val="en-US"/>
        </w:rPr>
        <w:t xml:space="preserve">type </w:t>
      </w:r>
      <w:r w:rsidR="004F7BE3">
        <w:rPr>
          <w:sz w:val="24"/>
          <w:szCs w:val="24"/>
          <w:lang w:val="en-US"/>
        </w:rPr>
        <w:t>with its</w:t>
      </w:r>
      <w:r w:rsidR="007F1698">
        <w:rPr>
          <w:sz w:val="24"/>
          <w:szCs w:val="24"/>
          <w:lang w:val="en-US"/>
        </w:rPr>
        <w:t xml:space="preserve"> </w:t>
      </w:r>
      <w:r w:rsidR="00E53FE2">
        <w:rPr>
          <w:sz w:val="24"/>
          <w:szCs w:val="24"/>
          <w:lang w:val="en-US"/>
        </w:rPr>
        <w:t xml:space="preserve">aluminium </w:t>
      </w:r>
      <w:r w:rsidR="007F1698">
        <w:rPr>
          <w:sz w:val="24"/>
          <w:szCs w:val="24"/>
          <w:lang w:val="en-US"/>
        </w:rPr>
        <w:t>collector diameter reduced</w:t>
      </w:r>
      <w:r w:rsidR="00E53FE2">
        <w:rPr>
          <w:sz w:val="24"/>
          <w:szCs w:val="24"/>
          <w:lang w:val="en-US"/>
        </w:rPr>
        <w:t xml:space="preserve"> from 1.1 mm to 1.0</w:t>
      </w:r>
      <w:r w:rsidR="007F1698">
        <w:rPr>
          <w:sz w:val="24"/>
          <w:szCs w:val="24"/>
          <w:lang w:val="en-US"/>
        </w:rPr>
        <w:t xml:space="preserve"> mm. While this </w:t>
      </w:r>
      <w:r w:rsidR="00B32020">
        <w:rPr>
          <w:sz w:val="24"/>
          <w:szCs w:val="24"/>
          <w:lang w:val="en-US"/>
        </w:rPr>
        <w:t>reduced</w:t>
      </w:r>
      <w:r w:rsidR="007F1698">
        <w:rPr>
          <w:sz w:val="24"/>
          <w:szCs w:val="24"/>
          <w:lang w:val="en-US"/>
        </w:rPr>
        <w:t xml:space="preserve"> both </w:t>
      </w:r>
      <w:proofErr w:type="spellStart"/>
      <w:r w:rsidR="007F1698" w:rsidRPr="00B32020">
        <w:rPr>
          <w:i/>
          <w:sz w:val="24"/>
          <w:szCs w:val="24"/>
          <w:lang w:val="en-US"/>
        </w:rPr>
        <w:t>D</w:t>
      </w:r>
      <w:r w:rsidR="007F1698" w:rsidRPr="00B32020">
        <w:rPr>
          <w:sz w:val="24"/>
          <w:szCs w:val="24"/>
          <w:vertAlign w:val="subscript"/>
          <w:lang w:val="en-US"/>
        </w:rPr>
        <w:t>cav</w:t>
      </w:r>
      <w:proofErr w:type="gramStart"/>
      <w:r w:rsidR="007F1698" w:rsidRPr="00B32020">
        <w:rPr>
          <w:sz w:val="24"/>
          <w:szCs w:val="24"/>
          <w:vertAlign w:val="subscript"/>
          <w:lang w:val="en-US"/>
        </w:rPr>
        <w:t>,air</w:t>
      </w:r>
      <w:proofErr w:type="spellEnd"/>
      <w:proofErr w:type="gramEnd"/>
      <w:r w:rsidR="007F1698">
        <w:rPr>
          <w:sz w:val="24"/>
          <w:szCs w:val="24"/>
          <w:lang w:val="en-US"/>
        </w:rPr>
        <w:t xml:space="preserve"> and </w:t>
      </w:r>
      <w:proofErr w:type="spellStart"/>
      <w:r w:rsidR="007F1698" w:rsidRPr="00B32020">
        <w:rPr>
          <w:i/>
          <w:sz w:val="24"/>
          <w:szCs w:val="24"/>
          <w:lang w:val="en-US"/>
        </w:rPr>
        <w:t>D</w:t>
      </w:r>
      <w:r w:rsidR="007F1698" w:rsidRPr="00B32020">
        <w:rPr>
          <w:sz w:val="24"/>
          <w:szCs w:val="24"/>
          <w:vertAlign w:val="subscript"/>
          <w:lang w:val="en-US"/>
        </w:rPr>
        <w:t>cav,w</w:t>
      </w:r>
      <w:proofErr w:type="spellEnd"/>
      <w:r w:rsidR="007F1698">
        <w:rPr>
          <w:sz w:val="24"/>
          <w:szCs w:val="24"/>
          <w:lang w:val="en-US"/>
        </w:rPr>
        <w:t xml:space="preserve"> by </w:t>
      </w:r>
      <w:r w:rsidR="004F7BE3">
        <w:rPr>
          <w:sz w:val="24"/>
          <w:szCs w:val="24"/>
          <w:lang w:val="en-US"/>
        </w:rPr>
        <w:t>around 2.5</w:t>
      </w:r>
      <w:r w:rsidR="00B32020">
        <w:rPr>
          <w:sz w:val="24"/>
          <w:szCs w:val="24"/>
          <w:lang w:val="en-US"/>
        </w:rPr>
        <w:t> % at 100 kV</w:t>
      </w:r>
      <w:r w:rsidR="004F7BE3">
        <w:rPr>
          <w:sz w:val="24"/>
          <w:szCs w:val="24"/>
          <w:lang w:val="en-US"/>
        </w:rPr>
        <w:t xml:space="preserve"> </w:t>
      </w:r>
      <w:r w:rsidR="00CC17F0">
        <w:rPr>
          <w:sz w:val="24"/>
          <w:szCs w:val="24"/>
          <w:lang w:val="en-US"/>
        </w:rPr>
        <w:t>(</w:t>
      </w:r>
      <w:r w:rsidR="00D240B3">
        <w:rPr>
          <w:sz w:val="24"/>
          <w:szCs w:val="24"/>
          <w:lang w:val="en-US"/>
        </w:rPr>
        <w:t xml:space="preserve">an effect </w:t>
      </w:r>
      <w:r w:rsidR="004F7BE3">
        <w:rPr>
          <w:sz w:val="24"/>
          <w:szCs w:val="24"/>
          <w:lang w:val="en-US"/>
        </w:rPr>
        <w:t>progressively decreasing to 0.5 % at 250 kV</w:t>
      </w:r>
      <w:r w:rsidR="00CC17F0">
        <w:rPr>
          <w:sz w:val="24"/>
          <w:szCs w:val="24"/>
          <w:lang w:val="en-US"/>
        </w:rPr>
        <w:t>)</w:t>
      </w:r>
      <w:r w:rsidR="003516BB">
        <w:rPr>
          <w:sz w:val="24"/>
          <w:szCs w:val="24"/>
          <w:lang w:val="en-US"/>
        </w:rPr>
        <w:t>, the</w:t>
      </w:r>
      <w:r w:rsidR="007F1698">
        <w:rPr>
          <w:sz w:val="24"/>
          <w:szCs w:val="24"/>
          <w:lang w:val="en-US"/>
        </w:rPr>
        <w:t xml:space="preserve"> ratio</w:t>
      </w:r>
      <w:r w:rsidR="003516BB">
        <w:rPr>
          <w:sz w:val="24"/>
          <w:szCs w:val="24"/>
          <w:lang w:val="en-US"/>
        </w:rPr>
        <w:t xml:space="preserve"> </w:t>
      </w:r>
      <w:proofErr w:type="spellStart"/>
      <w:r w:rsidR="003516BB" w:rsidRPr="00B32020">
        <w:rPr>
          <w:i/>
          <w:sz w:val="24"/>
          <w:szCs w:val="24"/>
          <w:lang w:val="en-US"/>
        </w:rPr>
        <w:t>D</w:t>
      </w:r>
      <w:r w:rsidR="003516BB" w:rsidRPr="00B32020">
        <w:rPr>
          <w:sz w:val="24"/>
          <w:szCs w:val="24"/>
          <w:vertAlign w:val="subscript"/>
          <w:lang w:val="en-US"/>
        </w:rPr>
        <w:t>cav,</w:t>
      </w:r>
      <w:r w:rsidR="003516BB">
        <w:rPr>
          <w:sz w:val="24"/>
          <w:szCs w:val="24"/>
          <w:vertAlign w:val="subscript"/>
          <w:lang w:val="en-US"/>
        </w:rPr>
        <w:t>w</w:t>
      </w:r>
      <w:proofErr w:type="spellEnd"/>
      <w:r w:rsidR="003516BB">
        <w:rPr>
          <w:sz w:val="24"/>
          <w:szCs w:val="24"/>
          <w:lang w:val="en-US"/>
        </w:rPr>
        <w:t>/</w:t>
      </w:r>
      <w:proofErr w:type="spellStart"/>
      <w:r w:rsidR="003516BB" w:rsidRPr="00B32020">
        <w:rPr>
          <w:i/>
          <w:sz w:val="24"/>
          <w:szCs w:val="24"/>
          <w:lang w:val="en-US"/>
        </w:rPr>
        <w:t>D</w:t>
      </w:r>
      <w:r w:rsidR="003516BB" w:rsidRPr="00B32020">
        <w:rPr>
          <w:sz w:val="24"/>
          <w:szCs w:val="24"/>
          <w:vertAlign w:val="subscript"/>
          <w:lang w:val="en-US"/>
        </w:rPr>
        <w:t>cav,</w:t>
      </w:r>
      <w:r w:rsidR="003516BB">
        <w:rPr>
          <w:sz w:val="24"/>
          <w:szCs w:val="24"/>
          <w:vertAlign w:val="subscript"/>
          <w:lang w:val="en-US"/>
        </w:rPr>
        <w:t>air</w:t>
      </w:r>
      <w:proofErr w:type="spellEnd"/>
      <w:r w:rsidR="005D6E66">
        <w:rPr>
          <w:sz w:val="24"/>
          <w:szCs w:val="24"/>
          <w:lang w:val="en-US"/>
        </w:rPr>
        <w:t xml:space="preserve"> did not change by more than 0.4 % for any quality. Given that the manufacturing tolerance for the collector is probably below 0.03 mm, </w:t>
      </w:r>
      <w:r w:rsidR="008B60FA">
        <w:rPr>
          <w:sz w:val="24"/>
          <w:szCs w:val="24"/>
          <w:lang w:val="en-US"/>
        </w:rPr>
        <w:t>any difference between the assumed diameter of 1.1 mm and the actual diameter of a given chamber is</w:t>
      </w:r>
      <w:r w:rsidR="005D6E66">
        <w:rPr>
          <w:sz w:val="24"/>
          <w:szCs w:val="24"/>
          <w:lang w:val="en-US"/>
        </w:rPr>
        <w:t xml:space="preserve"> not likely to introduce </w:t>
      </w:r>
      <w:r w:rsidR="00E53FE2">
        <w:rPr>
          <w:sz w:val="24"/>
          <w:szCs w:val="24"/>
          <w:lang w:val="en-US"/>
        </w:rPr>
        <w:t xml:space="preserve">an error of </w:t>
      </w:r>
      <w:r w:rsidR="005D6E66">
        <w:rPr>
          <w:sz w:val="24"/>
          <w:szCs w:val="24"/>
          <w:lang w:val="en-US"/>
        </w:rPr>
        <w:t>more than 0.15 %.</w:t>
      </w:r>
      <w:r w:rsidR="007F1698">
        <w:rPr>
          <w:sz w:val="24"/>
          <w:szCs w:val="24"/>
          <w:lang w:val="en-US"/>
        </w:rPr>
        <w:t xml:space="preserve"> </w:t>
      </w:r>
      <w:r w:rsidR="003516BB">
        <w:rPr>
          <w:sz w:val="24"/>
          <w:szCs w:val="24"/>
          <w:lang w:val="en-US"/>
        </w:rPr>
        <w:t>Similar calculations for the chamber wall did not show any significant effect</w:t>
      </w:r>
      <w:r w:rsidR="008B60FA">
        <w:rPr>
          <w:sz w:val="24"/>
          <w:szCs w:val="24"/>
          <w:lang w:val="en-US"/>
        </w:rPr>
        <w:t>. T</w:t>
      </w:r>
      <w:r w:rsidR="003516BB">
        <w:rPr>
          <w:sz w:val="24"/>
          <w:szCs w:val="24"/>
          <w:lang w:val="en-US"/>
        </w:rPr>
        <w:t xml:space="preserve">he uncertainty of 0.25 % noted </w:t>
      </w:r>
      <w:r w:rsidR="009E6DCC">
        <w:rPr>
          <w:sz w:val="24"/>
          <w:szCs w:val="24"/>
          <w:lang w:val="en-US"/>
        </w:rPr>
        <w:t>in the previous paragraph</w:t>
      </w:r>
      <w:r w:rsidR="008B60FA">
        <w:rPr>
          <w:sz w:val="24"/>
          <w:szCs w:val="24"/>
          <w:lang w:val="en-US"/>
        </w:rPr>
        <w:t>, which inherently takes into account the possibilities discussed here,</w:t>
      </w:r>
      <w:r w:rsidR="003516BB">
        <w:rPr>
          <w:sz w:val="24"/>
          <w:szCs w:val="24"/>
          <w:lang w:val="en-US"/>
        </w:rPr>
        <w:t xml:space="preserve"> is included in Table 2.</w:t>
      </w:r>
    </w:p>
    <w:p w:rsidR="003B546C" w:rsidRPr="001133D2" w:rsidRDefault="001133D2" w:rsidP="000E211C">
      <w:pPr>
        <w:spacing w:after="60"/>
        <w:rPr>
          <w:i/>
          <w:sz w:val="24"/>
          <w:szCs w:val="24"/>
          <w:lang w:val="en-US"/>
        </w:rPr>
      </w:pPr>
      <w:proofErr w:type="gramStart"/>
      <w:r w:rsidRPr="001133D2">
        <w:rPr>
          <w:i/>
          <w:sz w:val="24"/>
          <w:szCs w:val="24"/>
          <w:lang w:val="en-US"/>
        </w:rPr>
        <w:lastRenderedPageBreak/>
        <w:t xml:space="preserve">5.4  </w:t>
      </w:r>
      <w:r w:rsidR="003B546C" w:rsidRPr="001133D2">
        <w:rPr>
          <w:i/>
          <w:sz w:val="24"/>
          <w:szCs w:val="24"/>
          <w:lang w:val="en-US"/>
        </w:rPr>
        <w:t>Representation</w:t>
      </w:r>
      <w:proofErr w:type="gramEnd"/>
      <w:r w:rsidR="003B546C" w:rsidRPr="001133D2">
        <w:rPr>
          <w:i/>
          <w:sz w:val="24"/>
          <w:szCs w:val="24"/>
          <w:lang w:val="en-US"/>
        </w:rPr>
        <w:t xml:space="preserve"> of </w:t>
      </w:r>
      <w:r w:rsidRPr="001133D2">
        <w:rPr>
          <w:i/>
          <w:sz w:val="24"/>
          <w:szCs w:val="24"/>
          <w:lang w:val="en-US"/>
        </w:rPr>
        <w:t xml:space="preserve">incident </w:t>
      </w:r>
      <w:r w:rsidR="003B546C" w:rsidRPr="001133D2">
        <w:rPr>
          <w:i/>
          <w:sz w:val="24"/>
          <w:szCs w:val="24"/>
          <w:lang w:val="en-US"/>
        </w:rPr>
        <w:t>spectra</w:t>
      </w:r>
    </w:p>
    <w:p w:rsidR="003B546C" w:rsidRDefault="003B546C" w:rsidP="003B546C">
      <w:pPr>
        <w:rPr>
          <w:sz w:val="24"/>
          <w:szCs w:val="24"/>
          <w:lang w:val="en-US"/>
        </w:rPr>
      </w:pPr>
      <w:r>
        <w:rPr>
          <w:sz w:val="24"/>
          <w:szCs w:val="24"/>
          <w:lang w:val="en-US"/>
        </w:rPr>
        <w:t>Differences between the true spectra and the calculated phase-space representation</w:t>
      </w:r>
      <w:r w:rsidR="0088071A">
        <w:rPr>
          <w:sz w:val="24"/>
          <w:szCs w:val="24"/>
          <w:lang w:val="en-US"/>
        </w:rPr>
        <w:t>s</w:t>
      </w:r>
      <w:r>
        <w:rPr>
          <w:sz w:val="24"/>
          <w:szCs w:val="24"/>
          <w:lang w:val="en-US"/>
        </w:rPr>
        <w:t xml:space="preserve"> are most </w:t>
      </w:r>
      <w:r w:rsidR="0088071A">
        <w:rPr>
          <w:sz w:val="24"/>
          <w:szCs w:val="24"/>
          <w:lang w:val="en-US"/>
        </w:rPr>
        <w:t>likely to influence the results through the ratio (</w:t>
      </w:r>
      <w:r w:rsidR="0088071A" w:rsidRPr="00415AFE">
        <w:rPr>
          <w:i/>
          <w:sz w:val="24"/>
          <w:szCs w:val="24"/>
          <w:lang w:val="en-US"/>
        </w:rPr>
        <w:t>µ</w:t>
      </w:r>
      <w:proofErr w:type="spellStart"/>
      <w:r w:rsidR="0088071A" w:rsidRPr="00415AFE">
        <w:rPr>
          <w:sz w:val="24"/>
          <w:szCs w:val="24"/>
          <w:vertAlign w:val="subscript"/>
          <w:lang w:val="en-US"/>
        </w:rPr>
        <w:t>en</w:t>
      </w:r>
      <w:proofErr w:type="spellEnd"/>
      <w:r w:rsidR="0088071A">
        <w:rPr>
          <w:sz w:val="24"/>
          <w:szCs w:val="24"/>
          <w:lang w:val="en-US"/>
        </w:rPr>
        <w:t>/</w:t>
      </w:r>
      <w:r w:rsidR="0088071A" w:rsidRPr="00415AFE">
        <w:rPr>
          <w:rFonts w:ascii="Symbol" w:hAnsi="Symbol"/>
          <w:i/>
          <w:sz w:val="24"/>
          <w:szCs w:val="24"/>
          <w:lang w:val="en-US"/>
        </w:rPr>
        <w:t></w:t>
      </w:r>
      <w:proofErr w:type="gramStart"/>
      <w:r w:rsidR="0088071A">
        <w:rPr>
          <w:sz w:val="24"/>
          <w:szCs w:val="24"/>
          <w:lang w:val="en-US"/>
        </w:rPr>
        <w:t>)</w:t>
      </w:r>
      <w:proofErr w:type="spellStart"/>
      <w:r w:rsidR="0088071A" w:rsidRPr="00415AFE">
        <w:rPr>
          <w:sz w:val="24"/>
          <w:szCs w:val="24"/>
          <w:vertAlign w:val="subscript"/>
          <w:lang w:val="en-US"/>
        </w:rPr>
        <w:t>w,air</w:t>
      </w:r>
      <w:proofErr w:type="spellEnd"/>
      <w:proofErr w:type="gramEnd"/>
      <w:r w:rsidR="006638EB">
        <w:rPr>
          <w:sz w:val="24"/>
          <w:szCs w:val="24"/>
          <w:lang w:val="en-US"/>
        </w:rPr>
        <w:t>, as most other effects cancel to first order.</w:t>
      </w:r>
      <w:r>
        <w:rPr>
          <w:sz w:val="24"/>
          <w:szCs w:val="24"/>
          <w:lang w:val="en-US"/>
        </w:rPr>
        <w:t xml:space="preserve"> To estimate the </w:t>
      </w:r>
      <w:r w:rsidR="009E6DCC">
        <w:rPr>
          <w:sz w:val="24"/>
          <w:szCs w:val="24"/>
          <w:lang w:val="en-US"/>
        </w:rPr>
        <w:t>sensitivity</w:t>
      </w:r>
      <w:r>
        <w:rPr>
          <w:sz w:val="24"/>
          <w:szCs w:val="24"/>
          <w:lang w:val="en-US"/>
        </w:rPr>
        <w:t xml:space="preserve">, </w:t>
      </w:r>
      <w:r w:rsidR="00D307E6">
        <w:rPr>
          <w:sz w:val="24"/>
          <w:szCs w:val="24"/>
          <w:lang w:val="en-US"/>
        </w:rPr>
        <w:t xml:space="preserve">the </w:t>
      </w:r>
      <w:r w:rsidR="00D240B3">
        <w:rPr>
          <w:sz w:val="24"/>
          <w:szCs w:val="24"/>
          <w:lang w:val="en-US"/>
        </w:rPr>
        <w:t>simulated</w:t>
      </w:r>
      <w:r w:rsidR="00D307E6">
        <w:rPr>
          <w:sz w:val="24"/>
          <w:szCs w:val="24"/>
          <w:lang w:val="en-US"/>
        </w:rPr>
        <w:t xml:space="preserve"> spectra and those calculated using </w:t>
      </w:r>
      <w:proofErr w:type="spellStart"/>
      <w:r>
        <w:rPr>
          <w:sz w:val="24"/>
          <w:szCs w:val="24"/>
          <w:lang w:val="en-US"/>
        </w:rPr>
        <w:t>SpekCalc</w:t>
      </w:r>
      <w:proofErr w:type="spellEnd"/>
      <w:r>
        <w:rPr>
          <w:sz w:val="24"/>
          <w:szCs w:val="24"/>
          <w:lang w:val="en-US"/>
        </w:rPr>
        <w:t xml:space="preserve"> (</w:t>
      </w:r>
      <w:proofErr w:type="spellStart"/>
      <w:r w:rsidR="0088071A">
        <w:rPr>
          <w:sz w:val="24"/>
          <w:szCs w:val="24"/>
          <w:lang w:val="en-US"/>
        </w:rPr>
        <w:t>Poludniowski</w:t>
      </w:r>
      <w:proofErr w:type="spellEnd"/>
      <w:r w:rsidR="0088071A">
        <w:rPr>
          <w:sz w:val="24"/>
          <w:szCs w:val="24"/>
          <w:lang w:val="en-US"/>
        </w:rPr>
        <w:t xml:space="preserve"> </w:t>
      </w:r>
      <w:r w:rsidR="0088071A" w:rsidRPr="00BB6698">
        <w:rPr>
          <w:i/>
          <w:sz w:val="24"/>
          <w:szCs w:val="24"/>
          <w:lang w:val="en-US"/>
        </w:rPr>
        <w:t>et al</w:t>
      </w:r>
      <w:r w:rsidR="0088071A">
        <w:rPr>
          <w:sz w:val="24"/>
          <w:szCs w:val="24"/>
          <w:lang w:val="en-US"/>
        </w:rPr>
        <w:t xml:space="preserve"> 2009</w:t>
      </w:r>
      <w:r>
        <w:rPr>
          <w:sz w:val="24"/>
          <w:szCs w:val="24"/>
          <w:lang w:val="en-US"/>
        </w:rPr>
        <w:t>)</w:t>
      </w:r>
      <w:r w:rsidR="00D307E6">
        <w:rPr>
          <w:sz w:val="24"/>
          <w:szCs w:val="24"/>
          <w:lang w:val="en-US"/>
        </w:rPr>
        <w:t xml:space="preserve"> were compared with the spectra measured at the BIPM</w:t>
      </w:r>
      <w:r w:rsidR="00CC17F0">
        <w:rPr>
          <w:sz w:val="24"/>
          <w:szCs w:val="24"/>
          <w:lang w:val="en-US"/>
        </w:rPr>
        <w:t xml:space="preserve"> </w:t>
      </w:r>
      <w:r w:rsidR="00D240B3">
        <w:rPr>
          <w:sz w:val="24"/>
          <w:szCs w:val="24"/>
          <w:lang w:val="en-US"/>
        </w:rPr>
        <w:t>(in fact these measurements were made for the pre-2004 x-ray tube at the BIPM</w:t>
      </w:r>
      <w:r w:rsidR="00CC17F0">
        <w:rPr>
          <w:sz w:val="24"/>
          <w:szCs w:val="24"/>
          <w:lang w:val="en-US"/>
        </w:rPr>
        <w:t>, for which the qualities were very similar</w:t>
      </w:r>
      <w:r w:rsidR="00D240B3">
        <w:rPr>
          <w:sz w:val="24"/>
          <w:szCs w:val="24"/>
          <w:lang w:val="en-US"/>
        </w:rPr>
        <w:t>)</w:t>
      </w:r>
      <w:r>
        <w:rPr>
          <w:sz w:val="24"/>
          <w:szCs w:val="24"/>
          <w:lang w:val="en-US"/>
        </w:rPr>
        <w:t xml:space="preserve">. The </w:t>
      </w:r>
      <w:r w:rsidR="0092223E">
        <w:rPr>
          <w:sz w:val="24"/>
          <w:szCs w:val="24"/>
          <w:lang w:val="en-US"/>
        </w:rPr>
        <w:t xml:space="preserve">standard deviation of the </w:t>
      </w:r>
      <w:r w:rsidR="00CC17F0">
        <w:rPr>
          <w:sz w:val="24"/>
          <w:szCs w:val="24"/>
          <w:lang w:val="en-US"/>
        </w:rPr>
        <w:t xml:space="preserve">three </w:t>
      </w:r>
      <w:r w:rsidR="0092223E">
        <w:rPr>
          <w:sz w:val="24"/>
          <w:szCs w:val="24"/>
          <w:lang w:val="en-US"/>
        </w:rPr>
        <w:t xml:space="preserve">results </w:t>
      </w:r>
      <w:r w:rsidR="00D240B3">
        <w:rPr>
          <w:sz w:val="24"/>
          <w:szCs w:val="24"/>
          <w:lang w:val="en-US"/>
        </w:rPr>
        <w:t>for (</w:t>
      </w:r>
      <w:r w:rsidR="00D240B3" w:rsidRPr="00415AFE">
        <w:rPr>
          <w:i/>
          <w:sz w:val="24"/>
          <w:szCs w:val="24"/>
          <w:lang w:val="en-US"/>
        </w:rPr>
        <w:t>µ</w:t>
      </w:r>
      <w:proofErr w:type="spellStart"/>
      <w:r w:rsidR="00D240B3" w:rsidRPr="00415AFE">
        <w:rPr>
          <w:sz w:val="24"/>
          <w:szCs w:val="24"/>
          <w:vertAlign w:val="subscript"/>
          <w:lang w:val="en-US"/>
        </w:rPr>
        <w:t>en</w:t>
      </w:r>
      <w:proofErr w:type="spellEnd"/>
      <w:r w:rsidR="00D240B3">
        <w:rPr>
          <w:sz w:val="24"/>
          <w:szCs w:val="24"/>
          <w:lang w:val="en-US"/>
        </w:rPr>
        <w:t>/</w:t>
      </w:r>
      <w:r w:rsidR="00D240B3" w:rsidRPr="00415AFE">
        <w:rPr>
          <w:rFonts w:ascii="Symbol" w:hAnsi="Symbol"/>
          <w:i/>
          <w:sz w:val="24"/>
          <w:szCs w:val="24"/>
          <w:lang w:val="en-US"/>
        </w:rPr>
        <w:t></w:t>
      </w:r>
      <w:proofErr w:type="gramStart"/>
      <w:r w:rsidR="00D240B3">
        <w:rPr>
          <w:sz w:val="24"/>
          <w:szCs w:val="24"/>
          <w:lang w:val="en-US"/>
        </w:rPr>
        <w:t>)</w:t>
      </w:r>
      <w:proofErr w:type="spellStart"/>
      <w:r w:rsidR="00D240B3" w:rsidRPr="00415AFE">
        <w:rPr>
          <w:sz w:val="24"/>
          <w:szCs w:val="24"/>
          <w:vertAlign w:val="subscript"/>
          <w:lang w:val="en-US"/>
        </w:rPr>
        <w:t>w,air</w:t>
      </w:r>
      <w:proofErr w:type="spellEnd"/>
      <w:proofErr w:type="gramEnd"/>
      <w:r w:rsidR="00D240B3">
        <w:rPr>
          <w:sz w:val="24"/>
          <w:szCs w:val="24"/>
          <w:lang w:val="en-US"/>
        </w:rPr>
        <w:t xml:space="preserve"> at</w:t>
      </w:r>
      <w:r w:rsidR="00D307E6">
        <w:rPr>
          <w:sz w:val="24"/>
          <w:szCs w:val="24"/>
          <w:lang w:val="en-US"/>
        </w:rPr>
        <w:t xml:space="preserve"> each beam quality was in the range from 0.06 % to 0.14 %</w:t>
      </w:r>
      <w:r w:rsidR="006638EB">
        <w:rPr>
          <w:sz w:val="24"/>
          <w:szCs w:val="24"/>
          <w:lang w:val="en-US"/>
        </w:rPr>
        <w:t xml:space="preserve">. </w:t>
      </w:r>
      <w:r w:rsidR="00D307E6">
        <w:rPr>
          <w:sz w:val="24"/>
          <w:szCs w:val="24"/>
          <w:lang w:val="en-US"/>
        </w:rPr>
        <w:t xml:space="preserve">A </w:t>
      </w:r>
      <w:r w:rsidR="009E6DCC">
        <w:rPr>
          <w:sz w:val="24"/>
          <w:szCs w:val="24"/>
          <w:lang w:val="en-US"/>
        </w:rPr>
        <w:t xml:space="preserve">conservative </w:t>
      </w:r>
      <w:r w:rsidR="00D307E6">
        <w:rPr>
          <w:sz w:val="24"/>
          <w:szCs w:val="24"/>
          <w:lang w:val="en-US"/>
        </w:rPr>
        <w:t xml:space="preserve">standard </w:t>
      </w:r>
      <w:r w:rsidR="00C87E89">
        <w:rPr>
          <w:sz w:val="24"/>
          <w:szCs w:val="24"/>
          <w:lang w:val="en-US"/>
        </w:rPr>
        <w:t xml:space="preserve">uncertainty </w:t>
      </w:r>
      <w:r w:rsidR="00D307E6">
        <w:rPr>
          <w:sz w:val="24"/>
          <w:szCs w:val="24"/>
          <w:lang w:val="en-US"/>
        </w:rPr>
        <w:t>of 0.15 % is</w:t>
      </w:r>
      <w:r w:rsidR="005F0159">
        <w:rPr>
          <w:sz w:val="24"/>
          <w:szCs w:val="24"/>
          <w:lang w:val="en-US"/>
        </w:rPr>
        <w:t xml:space="preserve"> included in Table 2</w:t>
      </w:r>
      <w:r w:rsidR="0092223E">
        <w:rPr>
          <w:sz w:val="24"/>
          <w:szCs w:val="24"/>
          <w:lang w:val="en-US"/>
        </w:rPr>
        <w:t>.</w:t>
      </w:r>
    </w:p>
    <w:p w:rsidR="00C02666" w:rsidRPr="00CC17F0" w:rsidRDefault="00F53B70">
      <w:pPr>
        <w:rPr>
          <w:b/>
          <w:sz w:val="24"/>
          <w:szCs w:val="24"/>
          <w:lang w:val="en-US"/>
        </w:rPr>
      </w:pPr>
      <w:proofErr w:type="gramStart"/>
      <w:r w:rsidRPr="00CC17F0">
        <w:rPr>
          <w:b/>
          <w:sz w:val="24"/>
          <w:szCs w:val="24"/>
          <w:lang w:val="en-US"/>
        </w:rPr>
        <w:t xml:space="preserve">6  </w:t>
      </w:r>
      <w:r w:rsidR="00390D4A" w:rsidRPr="00CC17F0">
        <w:rPr>
          <w:b/>
          <w:sz w:val="24"/>
          <w:szCs w:val="24"/>
          <w:lang w:val="en-US"/>
        </w:rPr>
        <w:t>Results</w:t>
      </w:r>
      <w:proofErr w:type="gramEnd"/>
      <w:r w:rsidR="00390D4A" w:rsidRPr="00CC17F0">
        <w:rPr>
          <w:b/>
          <w:sz w:val="24"/>
          <w:szCs w:val="24"/>
          <w:lang w:val="en-US"/>
        </w:rPr>
        <w:t xml:space="preserve"> and discussion</w:t>
      </w:r>
    </w:p>
    <w:p w:rsidR="00F913D0" w:rsidRDefault="00F53B70" w:rsidP="002F14EB">
      <w:pPr>
        <w:rPr>
          <w:sz w:val="24"/>
          <w:szCs w:val="24"/>
          <w:lang w:val="en-US"/>
        </w:rPr>
      </w:pPr>
      <w:r>
        <w:rPr>
          <w:sz w:val="24"/>
          <w:szCs w:val="24"/>
          <w:lang w:val="en-US"/>
        </w:rPr>
        <w:t xml:space="preserve">The final results for the conversion from </w:t>
      </w:r>
      <w:proofErr w:type="spellStart"/>
      <w:r w:rsidRPr="00CC17F0">
        <w:rPr>
          <w:i/>
          <w:sz w:val="24"/>
          <w:szCs w:val="24"/>
          <w:lang w:val="en-US"/>
        </w:rPr>
        <w:t>K</w:t>
      </w:r>
      <w:r w:rsidRPr="00CC17F0">
        <w:rPr>
          <w:sz w:val="24"/>
          <w:szCs w:val="24"/>
          <w:vertAlign w:val="subscript"/>
          <w:lang w:val="en-US"/>
        </w:rPr>
        <w:t>air</w:t>
      </w:r>
      <w:proofErr w:type="spellEnd"/>
      <w:r>
        <w:rPr>
          <w:sz w:val="24"/>
          <w:szCs w:val="24"/>
          <w:lang w:val="en-US"/>
        </w:rPr>
        <w:t xml:space="preserve"> to </w:t>
      </w:r>
      <w:proofErr w:type="spellStart"/>
      <w:proofErr w:type="gramStart"/>
      <w:r w:rsidRPr="00CC17F0">
        <w:rPr>
          <w:i/>
          <w:sz w:val="24"/>
          <w:szCs w:val="24"/>
          <w:lang w:val="en-US"/>
        </w:rPr>
        <w:t>D</w:t>
      </w:r>
      <w:r w:rsidRPr="00CC17F0">
        <w:rPr>
          <w:sz w:val="24"/>
          <w:szCs w:val="24"/>
          <w:vertAlign w:val="subscript"/>
          <w:lang w:val="en-US"/>
        </w:rPr>
        <w:t>w</w:t>
      </w:r>
      <w:proofErr w:type="spellEnd"/>
      <w:r>
        <w:rPr>
          <w:sz w:val="24"/>
          <w:szCs w:val="24"/>
          <w:lang w:val="en-US"/>
        </w:rPr>
        <w:t xml:space="preserve"> </w:t>
      </w:r>
      <w:r w:rsidR="006A73F8">
        <w:rPr>
          <w:sz w:val="24"/>
          <w:szCs w:val="24"/>
          <w:lang w:val="en-US"/>
        </w:rPr>
        <w:t>,</w:t>
      </w:r>
      <w:proofErr w:type="gramEnd"/>
      <w:r w:rsidR="006A73F8">
        <w:rPr>
          <w:sz w:val="24"/>
          <w:szCs w:val="24"/>
          <w:lang w:val="en-US"/>
        </w:rPr>
        <w:t xml:space="preserve"> referred to as </w:t>
      </w:r>
      <w:proofErr w:type="spellStart"/>
      <w:r w:rsidR="006A73F8" w:rsidRPr="006A73F8">
        <w:rPr>
          <w:i/>
          <w:sz w:val="24"/>
          <w:szCs w:val="24"/>
          <w:lang w:val="en-US"/>
        </w:rPr>
        <w:t>C</w:t>
      </w:r>
      <w:r w:rsidR="006A73F8" w:rsidRPr="006A73F8">
        <w:rPr>
          <w:sz w:val="24"/>
          <w:szCs w:val="24"/>
          <w:vertAlign w:val="subscript"/>
          <w:lang w:val="en-US"/>
        </w:rPr>
        <w:t>w,air</w:t>
      </w:r>
      <w:proofErr w:type="spellEnd"/>
      <w:r w:rsidR="006A73F8">
        <w:rPr>
          <w:sz w:val="24"/>
          <w:szCs w:val="24"/>
          <w:lang w:val="en-US"/>
        </w:rPr>
        <w:t xml:space="preserve">, </w:t>
      </w:r>
      <w:r>
        <w:rPr>
          <w:sz w:val="24"/>
          <w:szCs w:val="24"/>
          <w:lang w:val="en-US"/>
        </w:rPr>
        <w:t>are summarized in Table 4.</w:t>
      </w:r>
      <w:r w:rsidR="00CC17F0">
        <w:rPr>
          <w:sz w:val="24"/>
          <w:szCs w:val="24"/>
          <w:lang w:val="en-US"/>
        </w:rPr>
        <w:t xml:space="preserve"> </w:t>
      </w:r>
      <w:r w:rsidR="00B21439">
        <w:rPr>
          <w:sz w:val="24"/>
          <w:szCs w:val="24"/>
          <w:lang w:val="en-US"/>
        </w:rPr>
        <w:t xml:space="preserve">The value of </w:t>
      </w:r>
      <w:proofErr w:type="spellStart"/>
      <w:r w:rsidR="006A73F8">
        <w:rPr>
          <w:i/>
          <w:sz w:val="24"/>
          <w:szCs w:val="24"/>
          <w:lang w:val="en-US"/>
        </w:rPr>
        <w:t>C</w:t>
      </w:r>
      <w:r w:rsidR="00B21439" w:rsidRPr="00B21439">
        <w:rPr>
          <w:sz w:val="24"/>
          <w:szCs w:val="24"/>
          <w:vertAlign w:val="subscript"/>
          <w:lang w:val="en-US"/>
        </w:rPr>
        <w:t>w</w:t>
      </w:r>
      <w:proofErr w:type="gramStart"/>
      <w:r w:rsidR="006A73F8">
        <w:rPr>
          <w:sz w:val="24"/>
          <w:szCs w:val="24"/>
          <w:lang w:val="en-US"/>
        </w:rPr>
        <w:t>,</w:t>
      </w:r>
      <w:r w:rsidR="00B21439" w:rsidRPr="00B21439">
        <w:rPr>
          <w:sz w:val="24"/>
          <w:szCs w:val="24"/>
          <w:vertAlign w:val="subscript"/>
          <w:lang w:val="en-US"/>
        </w:rPr>
        <w:t>air</w:t>
      </w:r>
      <w:proofErr w:type="spellEnd"/>
      <w:proofErr w:type="gramEnd"/>
      <w:r w:rsidR="00B21439">
        <w:rPr>
          <w:sz w:val="24"/>
          <w:szCs w:val="24"/>
          <w:lang w:val="en-US"/>
        </w:rPr>
        <w:t xml:space="preserve"> for each quality is the arithmetic mean of the </w:t>
      </w:r>
      <w:proofErr w:type="spellStart"/>
      <w:r w:rsidR="006A73F8" w:rsidRPr="00B21439">
        <w:rPr>
          <w:i/>
          <w:sz w:val="24"/>
          <w:szCs w:val="24"/>
          <w:lang w:val="en-US"/>
        </w:rPr>
        <w:t>D</w:t>
      </w:r>
      <w:r w:rsidR="006A73F8" w:rsidRPr="00B21439">
        <w:rPr>
          <w:sz w:val="24"/>
          <w:szCs w:val="24"/>
          <w:vertAlign w:val="subscript"/>
          <w:lang w:val="en-US"/>
        </w:rPr>
        <w:t>w</w:t>
      </w:r>
      <w:proofErr w:type="spellEnd"/>
      <w:r w:rsidR="006A73F8">
        <w:rPr>
          <w:sz w:val="24"/>
          <w:szCs w:val="24"/>
          <w:lang w:val="en-US"/>
        </w:rPr>
        <w:t>/</w:t>
      </w:r>
      <w:proofErr w:type="spellStart"/>
      <w:r w:rsidR="006A73F8" w:rsidRPr="00B21439">
        <w:rPr>
          <w:i/>
          <w:sz w:val="24"/>
          <w:szCs w:val="24"/>
          <w:lang w:val="en-US"/>
        </w:rPr>
        <w:t>K</w:t>
      </w:r>
      <w:r w:rsidR="006A73F8" w:rsidRPr="00B21439">
        <w:rPr>
          <w:sz w:val="24"/>
          <w:szCs w:val="24"/>
          <w:vertAlign w:val="subscript"/>
          <w:lang w:val="en-US"/>
        </w:rPr>
        <w:t>air</w:t>
      </w:r>
      <w:proofErr w:type="spellEnd"/>
      <w:r w:rsidR="006A73F8">
        <w:rPr>
          <w:sz w:val="24"/>
          <w:szCs w:val="24"/>
          <w:lang w:val="en-US"/>
        </w:rPr>
        <w:t xml:space="preserve"> </w:t>
      </w:r>
      <w:r w:rsidR="00B21439">
        <w:rPr>
          <w:sz w:val="24"/>
          <w:szCs w:val="24"/>
          <w:lang w:val="en-US"/>
        </w:rPr>
        <w:t xml:space="preserve">values obtained for the two transfer chamber types in Table 1. The </w:t>
      </w:r>
      <w:r w:rsidR="000E211C">
        <w:rPr>
          <w:sz w:val="24"/>
          <w:szCs w:val="24"/>
          <w:lang w:val="en-US"/>
        </w:rPr>
        <w:t xml:space="preserve">combined </w:t>
      </w:r>
      <w:r w:rsidR="00BC2C40">
        <w:rPr>
          <w:sz w:val="24"/>
          <w:szCs w:val="24"/>
          <w:lang w:val="en-US"/>
        </w:rPr>
        <w:t xml:space="preserve">standard uncertainties </w:t>
      </w:r>
      <w:r w:rsidR="00BC2C40" w:rsidRPr="004632CD">
        <w:rPr>
          <w:rFonts w:ascii="Symbol" w:hAnsi="Symbol"/>
          <w:i/>
          <w:lang w:val="en-US"/>
        </w:rPr>
        <w:t></w:t>
      </w:r>
      <w:r w:rsidR="00BC2C40">
        <w:rPr>
          <w:vertAlign w:val="subscript"/>
          <w:lang w:val="en-US"/>
        </w:rPr>
        <w:t>A</w:t>
      </w:r>
      <w:r w:rsidR="00BC2C40">
        <w:rPr>
          <w:sz w:val="24"/>
          <w:szCs w:val="24"/>
          <w:lang w:val="en-US"/>
        </w:rPr>
        <w:t xml:space="preserve"> and </w:t>
      </w:r>
      <w:r w:rsidR="000E211C" w:rsidRPr="004632CD">
        <w:rPr>
          <w:rFonts w:ascii="Symbol" w:hAnsi="Symbol"/>
          <w:i/>
          <w:lang w:val="en-US"/>
        </w:rPr>
        <w:t></w:t>
      </w:r>
      <w:r w:rsidR="00BC2C40">
        <w:rPr>
          <w:vertAlign w:val="subscript"/>
          <w:lang w:val="en-US"/>
        </w:rPr>
        <w:t>B</w:t>
      </w:r>
      <w:r w:rsidR="000E211C">
        <w:rPr>
          <w:lang w:val="en-US"/>
        </w:rPr>
        <w:t xml:space="preserve"> </w:t>
      </w:r>
      <w:r w:rsidR="00BC2C40">
        <w:rPr>
          <w:sz w:val="24"/>
          <w:szCs w:val="24"/>
          <w:lang w:val="en-US"/>
        </w:rPr>
        <w:t xml:space="preserve">are summarized from </w:t>
      </w:r>
      <w:r w:rsidR="00B21439">
        <w:rPr>
          <w:sz w:val="24"/>
          <w:szCs w:val="24"/>
          <w:lang w:val="en-US"/>
        </w:rPr>
        <w:t>Table 2</w:t>
      </w:r>
      <w:r w:rsidR="006B4D24">
        <w:rPr>
          <w:sz w:val="24"/>
          <w:szCs w:val="24"/>
          <w:lang w:val="en-US"/>
        </w:rPr>
        <w:t>.</w:t>
      </w:r>
      <w:r w:rsidR="006B4D24" w:rsidRPr="006B4D24">
        <w:rPr>
          <w:sz w:val="24"/>
          <w:szCs w:val="24"/>
          <w:lang w:val="en-US"/>
        </w:rPr>
        <w:t xml:space="preserve"> </w:t>
      </w:r>
    </w:p>
    <w:p w:rsidR="002F14EB" w:rsidRPr="002F14EB" w:rsidRDefault="002F14EB" w:rsidP="002F14EB">
      <w:pPr>
        <w:keepNext/>
        <w:keepLines/>
        <w:spacing w:after="60"/>
        <w:rPr>
          <w:rFonts w:cs="Times New Roman"/>
          <w:b/>
          <w:lang w:val="en-US"/>
        </w:rPr>
      </w:pPr>
      <w:proofErr w:type="gramStart"/>
      <w:r w:rsidRPr="002F14EB">
        <w:rPr>
          <w:b/>
          <w:lang w:val="en-US"/>
        </w:rPr>
        <w:t xml:space="preserve">Table </w:t>
      </w:r>
      <w:r>
        <w:rPr>
          <w:b/>
          <w:lang w:val="en-US"/>
        </w:rPr>
        <w:t>4</w:t>
      </w:r>
      <w:r w:rsidRPr="002F14EB">
        <w:rPr>
          <w:rFonts w:cs="Times New Roman"/>
          <w:b/>
          <w:lang w:val="en-US"/>
        </w:rPr>
        <w:t>.</w:t>
      </w:r>
      <w:proofErr w:type="gramEnd"/>
      <w:r w:rsidRPr="002F14EB">
        <w:rPr>
          <w:rFonts w:cs="Times New Roman"/>
          <w:b/>
          <w:lang w:val="en-US"/>
        </w:rPr>
        <w:t xml:space="preserve"> </w:t>
      </w:r>
      <w:r w:rsidRPr="002F14EB">
        <w:rPr>
          <w:b/>
          <w:lang w:val="en-US"/>
        </w:rPr>
        <w:t xml:space="preserve">The </w:t>
      </w:r>
      <w:r w:rsidRPr="002F14EB">
        <w:rPr>
          <w:rFonts w:cs="Times New Roman"/>
          <w:b/>
          <w:lang w:val="en-US"/>
        </w:rPr>
        <w:t>conversion factor from air kerma to absorbed dose to water for the BIPM standard.</w:t>
      </w:r>
    </w:p>
    <w:tbl>
      <w:tblPr>
        <w:tblStyle w:val="TableGrid"/>
        <w:tblW w:w="0" w:type="auto"/>
        <w:tblInd w:w="108" w:type="dxa"/>
        <w:tblLook w:val="04A0" w:firstRow="1" w:lastRow="0" w:firstColumn="1" w:lastColumn="0" w:noHBand="0" w:noVBand="1"/>
      </w:tblPr>
      <w:tblGrid>
        <w:gridCol w:w="1255"/>
        <w:gridCol w:w="1256"/>
        <w:gridCol w:w="1255"/>
        <w:gridCol w:w="1256"/>
        <w:gridCol w:w="1255"/>
        <w:gridCol w:w="1256"/>
        <w:gridCol w:w="1256"/>
      </w:tblGrid>
      <w:tr w:rsidR="00BC2C40" w:rsidRPr="002F14EB" w:rsidTr="00BC2C40">
        <w:tc>
          <w:tcPr>
            <w:tcW w:w="1255" w:type="dxa"/>
            <w:vAlign w:val="center"/>
          </w:tcPr>
          <w:p w:rsidR="00BC2C40" w:rsidRPr="002F14EB" w:rsidRDefault="00BC2C40" w:rsidP="00472499">
            <w:pPr>
              <w:keepNext/>
              <w:keepLines/>
              <w:spacing w:beforeLines="20" w:before="48" w:afterLines="20" w:after="48"/>
              <w:rPr>
                <w:rFonts w:cs="Times New Roman"/>
                <w:lang w:val="en-US"/>
              </w:rPr>
            </w:pPr>
          </w:p>
        </w:tc>
        <w:tc>
          <w:tcPr>
            <w:tcW w:w="1256" w:type="dxa"/>
          </w:tcPr>
          <w:p w:rsidR="00BC2C40" w:rsidRPr="002F14EB" w:rsidRDefault="00BC2C40" w:rsidP="00472499">
            <w:pPr>
              <w:keepNext/>
              <w:keepLines/>
              <w:spacing w:beforeLines="20" w:before="48" w:afterLines="20" w:after="48"/>
              <w:jc w:val="center"/>
              <w:rPr>
                <w:rFonts w:eastAsia="Calibri"/>
                <w:lang w:val="en-US"/>
              </w:rPr>
            </w:pPr>
            <w:r w:rsidRPr="002F14EB">
              <w:rPr>
                <w:rFonts w:cs="Times New Roman"/>
                <w:lang w:val="en-US"/>
              </w:rPr>
              <w:t>100 kV</w:t>
            </w:r>
          </w:p>
        </w:tc>
        <w:tc>
          <w:tcPr>
            <w:tcW w:w="1255" w:type="dxa"/>
            <w:vAlign w:val="center"/>
          </w:tcPr>
          <w:p w:rsidR="00BC2C40" w:rsidRPr="002F14EB" w:rsidRDefault="00BC2C40" w:rsidP="00472499">
            <w:pPr>
              <w:keepNext/>
              <w:keepLines/>
              <w:spacing w:beforeLines="20" w:before="48" w:afterLines="20" w:after="48"/>
              <w:jc w:val="center"/>
              <w:rPr>
                <w:rFonts w:eastAsia="Calibri"/>
                <w:lang w:val="en-US"/>
              </w:rPr>
            </w:pPr>
            <w:r w:rsidRPr="002F14EB">
              <w:rPr>
                <w:rFonts w:cs="Times New Roman"/>
                <w:lang w:val="en-US"/>
              </w:rPr>
              <w:t>135 kV</w:t>
            </w:r>
          </w:p>
        </w:tc>
        <w:tc>
          <w:tcPr>
            <w:tcW w:w="1256" w:type="dxa"/>
          </w:tcPr>
          <w:p w:rsidR="00BC2C40" w:rsidRPr="002F14EB" w:rsidRDefault="00BC2C40" w:rsidP="00472499">
            <w:pPr>
              <w:keepNext/>
              <w:keepLines/>
              <w:spacing w:beforeLines="20" w:before="48" w:afterLines="20" w:after="48"/>
              <w:jc w:val="center"/>
              <w:rPr>
                <w:rFonts w:eastAsia="Calibri"/>
                <w:lang w:val="en-US"/>
              </w:rPr>
            </w:pPr>
            <w:r w:rsidRPr="002F14EB">
              <w:rPr>
                <w:rFonts w:cs="Times New Roman"/>
                <w:lang w:val="en-US"/>
              </w:rPr>
              <w:t>180 kV</w:t>
            </w:r>
          </w:p>
        </w:tc>
        <w:tc>
          <w:tcPr>
            <w:tcW w:w="1255" w:type="dxa"/>
            <w:vAlign w:val="center"/>
          </w:tcPr>
          <w:p w:rsidR="00BC2C40" w:rsidRPr="002F14EB" w:rsidRDefault="00BC2C40" w:rsidP="00472499">
            <w:pPr>
              <w:keepNext/>
              <w:keepLines/>
              <w:spacing w:beforeLines="20" w:before="48" w:afterLines="20" w:after="48"/>
              <w:jc w:val="center"/>
              <w:rPr>
                <w:rFonts w:eastAsia="Calibri"/>
                <w:lang w:val="en-US"/>
              </w:rPr>
            </w:pPr>
            <w:r w:rsidRPr="002F14EB">
              <w:rPr>
                <w:rFonts w:cs="Times New Roman"/>
                <w:lang w:val="en-US"/>
              </w:rPr>
              <w:t>250 kV</w:t>
            </w:r>
          </w:p>
        </w:tc>
        <w:tc>
          <w:tcPr>
            <w:tcW w:w="1256" w:type="dxa"/>
            <w:vAlign w:val="center"/>
          </w:tcPr>
          <w:p w:rsidR="00BC2C40" w:rsidRPr="002F14EB" w:rsidRDefault="00BC2C40" w:rsidP="00472499">
            <w:pPr>
              <w:keepNext/>
              <w:keepLines/>
              <w:spacing w:beforeLines="20" w:before="48" w:afterLines="20" w:after="48"/>
              <w:jc w:val="center"/>
              <w:rPr>
                <w:rFonts w:cs="Times New Roman"/>
                <w:lang w:val="en-US"/>
              </w:rPr>
            </w:pPr>
            <w:r w:rsidRPr="004632CD">
              <w:rPr>
                <w:rFonts w:ascii="Symbol" w:hAnsi="Symbol"/>
                <w:i/>
                <w:lang w:val="en-US"/>
              </w:rPr>
              <w:t></w:t>
            </w:r>
            <w:r>
              <w:rPr>
                <w:vertAlign w:val="subscript"/>
                <w:lang w:val="en-US"/>
              </w:rPr>
              <w:t>A</w:t>
            </w:r>
            <w:r>
              <w:rPr>
                <w:lang w:val="en-US"/>
              </w:rPr>
              <w:t xml:space="preserve"> /</w:t>
            </w:r>
            <w:r w:rsidRPr="00125A3C">
              <w:rPr>
                <w:lang w:val="en-US"/>
              </w:rPr>
              <w:t xml:space="preserve"> %</w:t>
            </w:r>
          </w:p>
        </w:tc>
        <w:tc>
          <w:tcPr>
            <w:tcW w:w="1256" w:type="dxa"/>
          </w:tcPr>
          <w:p w:rsidR="00BC2C40" w:rsidRPr="004632CD" w:rsidRDefault="00BC2C40" w:rsidP="00472499">
            <w:pPr>
              <w:keepNext/>
              <w:keepLines/>
              <w:spacing w:beforeLines="20" w:before="48" w:afterLines="20" w:after="48"/>
              <w:jc w:val="center"/>
              <w:rPr>
                <w:rFonts w:ascii="Symbol" w:hAnsi="Symbol"/>
                <w:i/>
                <w:lang w:val="en-US"/>
              </w:rPr>
            </w:pPr>
            <w:r w:rsidRPr="004632CD">
              <w:rPr>
                <w:rFonts w:ascii="Symbol" w:hAnsi="Symbol"/>
                <w:i/>
                <w:lang w:val="en-US"/>
              </w:rPr>
              <w:t></w:t>
            </w:r>
            <w:r>
              <w:rPr>
                <w:vertAlign w:val="subscript"/>
                <w:lang w:val="en-US"/>
              </w:rPr>
              <w:t>B</w:t>
            </w:r>
            <w:r>
              <w:rPr>
                <w:lang w:val="en-US"/>
              </w:rPr>
              <w:t xml:space="preserve"> /</w:t>
            </w:r>
            <w:r w:rsidRPr="00125A3C">
              <w:rPr>
                <w:lang w:val="en-US"/>
              </w:rPr>
              <w:t xml:space="preserve"> %</w:t>
            </w:r>
          </w:p>
        </w:tc>
      </w:tr>
      <w:tr w:rsidR="00BC2C40" w:rsidRPr="002F14EB" w:rsidTr="00BC2C40">
        <w:tc>
          <w:tcPr>
            <w:tcW w:w="1255" w:type="dxa"/>
            <w:vAlign w:val="center"/>
          </w:tcPr>
          <w:p w:rsidR="00BC2C40" w:rsidRPr="002F14EB" w:rsidRDefault="00BC2C40" w:rsidP="00472499">
            <w:pPr>
              <w:keepNext/>
              <w:keepLines/>
              <w:spacing w:beforeLines="20" w:before="48" w:afterLines="20" w:after="48"/>
              <w:rPr>
                <w:rFonts w:cs="Times New Roman"/>
                <w:b/>
                <w:lang w:val="en-US"/>
              </w:rPr>
            </w:pPr>
            <w:proofErr w:type="spellStart"/>
            <w:r w:rsidRPr="002F14EB">
              <w:rPr>
                <w:rFonts w:cs="Times New Roman"/>
                <w:b/>
                <w:i/>
                <w:lang w:val="en-US"/>
              </w:rPr>
              <w:t>C</w:t>
            </w:r>
            <w:r w:rsidRPr="002F14EB">
              <w:rPr>
                <w:rFonts w:cs="Times New Roman"/>
                <w:b/>
                <w:vertAlign w:val="subscript"/>
                <w:lang w:val="en-US"/>
              </w:rPr>
              <w:t>w</w:t>
            </w:r>
            <w:r w:rsidRPr="002F14EB">
              <w:rPr>
                <w:rFonts w:cs="Times New Roman"/>
                <w:b/>
                <w:lang w:val="en-US"/>
              </w:rPr>
              <w:t>,</w:t>
            </w:r>
            <w:r w:rsidRPr="002F14EB">
              <w:rPr>
                <w:rFonts w:cs="Times New Roman"/>
                <w:b/>
                <w:vertAlign w:val="subscript"/>
                <w:lang w:val="en-US"/>
              </w:rPr>
              <w:t>air</w:t>
            </w:r>
            <w:proofErr w:type="spellEnd"/>
          </w:p>
        </w:tc>
        <w:tc>
          <w:tcPr>
            <w:tcW w:w="1256" w:type="dxa"/>
            <w:vAlign w:val="center"/>
          </w:tcPr>
          <w:p w:rsidR="00BC2C40" w:rsidRPr="002F14EB" w:rsidRDefault="00465EDE" w:rsidP="00472499">
            <w:pPr>
              <w:keepNext/>
              <w:keepLines/>
              <w:jc w:val="center"/>
              <w:rPr>
                <w:rFonts w:cs="Times New Roman"/>
                <w:b/>
              </w:rPr>
            </w:pPr>
            <w:r>
              <w:rPr>
                <w:rFonts w:cs="Times New Roman"/>
                <w:b/>
              </w:rPr>
              <w:t>1.1839</w:t>
            </w:r>
          </w:p>
        </w:tc>
        <w:tc>
          <w:tcPr>
            <w:tcW w:w="1255" w:type="dxa"/>
            <w:vAlign w:val="center"/>
          </w:tcPr>
          <w:p w:rsidR="00BC2C40" w:rsidRPr="002F14EB" w:rsidRDefault="00BC2C40" w:rsidP="00472499">
            <w:pPr>
              <w:keepNext/>
              <w:keepLines/>
              <w:jc w:val="center"/>
              <w:rPr>
                <w:rFonts w:cs="Times New Roman"/>
                <w:b/>
              </w:rPr>
            </w:pPr>
            <w:r w:rsidRPr="002F14EB">
              <w:rPr>
                <w:rFonts w:cs="Times New Roman"/>
                <w:b/>
              </w:rPr>
              <w:t>1.429</w:t>
            </w:r>
            <w:r w:rsidR="00465EDE">
              <w:rPr>
                <w:rFonts w:cs="Times New Roman"/>
                <w:b/>
              </w:rPr>
              <w:t>3</w:t>
            </w:r>
          </w:p>
        </w:tc>
        <w:tc>
          <w:tcPr>
            <w:tcW w:w="1256" w:type="dxa"/>
            <w:vAlign w:val="center"/>
          </w:tcPr>
          <w:p w:rsidR="00BC2C40" w:rsidRPr="002F14EB" w:rsidRDefault="00465EDE" w:rsidP="00472499">
            <w:pPr>
              <w:keepNext/>
              <w:keepLines/>
              <w:jc w:val="center"/>
              <w:rPr>
                <w:rFonts w:cs="Times New Roman"/>
                <w:b/>
              </w:rPr>
            </w:pPr>
            <w:r>
              <w:rPr>
                <w:rFonts w:cs="Times New Roman"/>
                <w:b/>
              </w:rPr>
              <w:t>1.4427</w:t>
            </w:r>
          </w:p>
        </w:tc>
        <w:tc>
          <w:tcPr>
            <w:tcW w:w="1255" w:type="dxa"/>
            <w:vAlign w:val="center"/>
          </w:tcPr>
          <w:p w:rsidR="00BC2C40" w:rsidRPr="002F14EB" w:rsidRDefault="00BC2C40" w:rsidP="00472499">
            <w:pPr>
              <w:keepNext/>
              <w:keepLines/>
              <w:jc w:val="center"/>
              <w:rPr>
                <w:rFonts w:cs="Times New Roman"/>
                <w:b/>
                <w:lang w:val="en-US"/>
              </w:rPr>
            </w:pPr>
            <w:r w:rsidRPr="002F14EB">
              <w:rPr>
                <w:rFonts w:cs="Times New Roman"/>
                <w:b/>
                <w:lang w:val="en-US"/>
              </w:rPr>
              <w:t>1.367</w:t>
            </w:r>
            <w:r w:rsidR="00465EDE">
              <w:rPr>
                <w:rFonts w:cs="Times New Roman"/>
                <w:b/>
                <w:lang w:val="en-US"/>
              </w:rPr>
              <w:t>2</w:t>
            </w:r>
          </w:p>
        </w:tc>
        <w:tc>
          <w:tcPr>
            <w:tcW w:w="1256" w:type="dxa"/>
            <w:vAlign w:val="center"/>
          </w:tcPr>
          <w:p w:rsidR="00BC2C40" w:rsidRPr="002F14EB" w:rsidRDefault="00BC2C40" w:rsidP="002F14EB">
            <w:pPr>
              <w:keepNext/>
              <w:keepLines/>
              <w:jc w:val="center"/>
              <w:rPr>
                <w:b/>
                <w:lang w:val="en-US"/>
              </w:rPr>
            </w:pPr>
            <w:r>
              <w:rPr>
                <w:rFonts w:cs="Times New Roman"/>
                <w:b/>
                <w:lang w:val="en-US"/>
              </w:rPr>
              <w:t>0.13</w:t>
            </w:r>
          </w:p>
        </w:tc>
        <w:tc>
          <w:tcPr>
            <w:tcW w:w="1256" w:type="dxa"/>
            <w:vAlign w:val="center"/>
          </w:tcPr>
          <w:p w:rsidR="00BC2C40" w:rsidRPr="002F14EB" w:rsidRDefault="00465EDE" w:rsidP="00BC2C40">
            <w:pPr>
              <w:keepNext/>
              <w:keepLines/>
              <w:jc w:val="center"/>
              <w:rPr>
                <w:rFonts w:cs="Times New Roman"/>
                <w:b/>
                <w:lang w:val="en-US"/>
              </w:rPr>
            </w:pPr>
            <w:r>
              <w:rPr>
                <w:rFonts w:cs="Times New Roman"/>
                <w:b/>
                <w:lang w:val="en-US"/>
              </w:rPr>
              <w:t>0.</w:t>
            </w:r>
            <w:r w:rsidR="00BC2C40">
              <w:rPr>
                <w:rFonts w:cs="Times New Roman"/>
                <w:b/>
                <w:lang w:val="en-US"/>
              </w:rPr>
              <w:t>40</w:t>
            </w:r>
          </w:p>
        </w:tc>
      </w:tr>
    </w:tbl>
    <w:p w:rsidR="002F14EB" w:rsidRPr="002F14EB" w:rsidRDefault="002F14EB" w:rsidP="002F14EB">
      <w:pPr>
        <w:spacing w:after="0"/>
        <w:rPr>
          <w:rFonts w:cs="Times New Roman"/>
          <w:lang w:val="en-US"/>
        </w:rPr>
      </w:pPr>
    </w:p>
    <w:p w:rsidR="009219FE" w:rsidRDefault="009219FE">
      <w:pPr>
        <w:rPr>
          <w:sz w:val="24"/>
          <w:szCs w:val="24"/>
          <w:lang w:val="en-US"/>
        </w:rPr>
      </w:pPr>
      <w:r w:rsidRPr="00022F9B">
        <w:rPr>
          <w:noProof/>
          <w:lang w:val="en-US"/>
        </w:rPr>
        <w:drawing>
          <wp:anchor distT="0" distB="0" distL="114300" distR="114300" simplePos="0" relativeHeight="251658240" behindDoc="1" locked="0" layoutInCell="1" allowOverlap="1" wp14:anchorId="1241DFB7" wp14:editId="043021C3">
            <wp:simplePos x="0" y="0"/>
            <wp:positionH relativeFrom="column">
              <wp:posOffset>654190</wp:posOffset>
            </wp:positionH>
            <wp:positionV relativeFrom="paragraph">
              <wp:posOffset>995680</wp:posOffset>
            </wp:positionV>
            <wp:extent cx="4103370" cy="3114675"/>
            <wp:effectExtent l="0" t="0" r="0" b="9525"/>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03370" cy="3114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6DCC">
        <w:rPr>
          <w:sz w:val="24"/>
          <w:szCs w:val="24"/>
          <w:lang w:val="en-US"/>
        </w:rPr>
        <w:t xml:space="preserve">Measurements for a comparison with the PTB water calorimeter standard have been made and are the subject of a separate report to the </w:t>
      </w:r>
      <w:proofErr w:type="gramStart"/>
      <w:r w:rsidR="009E6DCC">
        <w:rPr>
          <w:sz w:val="24"/>
          <w:szCs w:val="24"/>
          <w:lang w:val="en-US"/>
        </w:rPr>
        <w:t>CCRI(</w:t>
      </w:r>
      <w:proofErr w:type="gramEnd"/>
      <w:r w:rsidR="009E6DCC">
        <w:rPr>
          <w:sz w:val="24"/>
          <w:szCs w:val="24"/>
          <w:lang w:val="en-US"/>
        </w:rPr>
        <w:t>I). I</w:t>
      </w:r>
      <w:r w:rsidR="00861871">
        <w:rPr>
          <w:sz w:val="24"/>
          <w:szCs w:val="24"/>
          <w:lang w:val="en-US"/>
        </w:rPr>
        <w:t>n</w:t>
      </w:r>
      <w:r w:rsidR="009E6DCC">
        <w:rPr>
          <w:sz w:val="24"/>
          <w:szCs w:val="24"/>
          <w:lang w:val="en-US"/>
        </w:rPr>
        <w:t xml:space="preserve"> the meantime, a</w:t>
      </w:r>
      <w:r w:rsidR="00611931">
        <w:rPr>
          <w:sz w:val="24"/>
          <w:szCs w:val="24"/>
          <w:lang w:val="en-US"/>
        </w:rPr>
        <w:t xml:space="preserve"> comparison </w:t>
      </w:r>
      <w:r w:rsidR="009E6DCC">
        <w:rPr>
          <w:sz w:val="24"/>
          <w:szCs w:val="24"/>
          <w:lang w:val="en-US"/>
        </w:rPr>
        <w:t xml:space="preserve">is made </w:t>
      </w:r>
      <w:r w:rsidR="00611931">
        <w:rPr>
          <w:sz w:val="24"/>
          <w:szCs w:val="24"/>
          <w:lang w:val="en-US"/>
        </w:rPr>
        <w:t xml:space="preserve">with the </w:t>
      </w:r>
      <w:r w:rsidR="000D13DD">
        <w:rPr>
          <w:sz w:val="24"/>
          <w:szCs w:val="24"/>
          <w:lang w:val="en-US"/>
        </w:rPr>
        <w:t xml:space="preserve">absorbed </w:t>
      </w:r>
      <w:r w:rsidR="00611931">
        <w:rPr>
          <w:sz w:val="24"/>
          <w:szCs w:val="24"/>
          <w:lang w:val="en-US"/>
        </w:rPr>
        <w:t>dose to water obtained using two codes of practice</w:t>
      </w:r>
      <w:r w:rsidR="00EF7675">
        <w:rPr>
          <w:sz w:val="24"/>
          <w:szCs w:val="24"/>
          <w:lang w:val="en-US"/>
        </w:rPr>
        <w:t xml:space="preserve"> </w:t>
      </w:r>
      <w:r w:rsidR="000F1D29">
        <w:rPr>
          <w:sz w:val="24"/>
          <w:szCs w:val="24"/>
          <w:lang w:val="en-US"/>
        </w:rPr>
        <w:t>based on air kerma</w:t>
      </w:r>
      <w:r w:rsidR="009E6DCC">
        <w:rPr>
          <w:sz w:val="24"/>
          <w:szCs w:val="24"/>
          <w:lang w:val="en-US"/>
        </w:rPr>
        <w:t>.</w:t>
      </w:r>
      <w:r w:rsidR="00861871">
        <w:rPr>
          <w:sz w:val="24"/>
          <w:szCs w:val="24"/>
          <w:lang w:val="en-US"/>
        </w:rPr>
        <w:t xml:space="preserve"> The results are</w:t>
      </w:r>
      <w:r w:rsidR="00611931">
        <w:rPr>
          <w:sz w:val="24"/>
          <w:szCs w:val="24"/>
          <w:lang w:val="en-US"/>
        </w:rPr>
        <w:t xml:space="preserve"> shown in Figure 1</w:t>
      </w:r>
      <w:r w:rsidR="00022F9B">
        <w:rPr>
          <w:sz w:val="24"/>
          <w:szCs w:val="24"/>
          <w:lang w:val="en-US"/>
        </w:rPr>
        <w:t xml:space="preserve">, where </w:t>
      </w:r>
      <w:r w:rsidR="00861871">
        <w:rPr>
          <w:sz w:val="24"/>
          <w:szCs w:val="24"/>
          <w:lang w:val="en-US"/>
        </w:rPr>
        <w:t xml:space="preserve">the ordinate value of </w:t>
      </w:r>
      <w:r w:rsidR="00022F9B">
        <w:rPr>
          <w:sz w:val="24"/>
          <w:szCs w:val="24"/>
          <w:lang w:val="en-US"/>
        </w:rPr>
        <w:t xml:space="preserve">unity represents the BIPM </w:t>
      </w:r>
      <w:r w:rsidR="000D13DD">
        <w:rPr>
          <w:sz w:val="24"/>
          <w:szCs w:val="24"/>
          <w:lang w:val="en-US"/>
        </w:rPr>
        <w:t>standard</w:t>
      </w:r>
      <w:r w:rsidR="00022F9B">
        <w:rPr>
          <w:sz w:val="24"/>
          <w:szCs w:val="24"/>
          <w:lang w:val="en-US"/>
        </w:rPr>
        <w:t xml:space="preserve"> an</w:t>
      </w:r>
      <w:r w:rsidR="000E211C">
        <w:rPr>
          <w:sz w:val="24"/>
          <w:szCs w:val="24"/>
          <w:lang w:val="en-US"/>
        </w:rPr>
        <w:t>d the dotted lines represent the combined</w:t>
      </w:r>
      <w:r w:rsidR="00022F9B">
        <w:rPr>
          <w:sz w:val="24"/>
          <w:szCs w:val="24"/>
          <w:lang w:val="en-US"/>
        </w:rPr>
        <w:t xml:space="preserve"> standard uncertainty</w:t>
      </w:r>
      <w:r w:rsidR="000E211C">
        <w:rPr>
          <w:sz w:val="24"/>
          <w:szCs w:val="24"/>
          <w:lang w:val="en-US"/>
        </w:rPr>
        <w:t xml:space="preserve"> </w:t>
      </w:r>
      <w:r w:rsidR="000E211C" w:rsidRPr="004632CD">
        <w:rPr>
          <w:rFonts w:ascii="Symbol" w:hAnsi="Symbol"/>
          <w:i/>
          <w:lang w:val="en-US"/>
        </w:rPr>
        <w:t></w:t>
      </w:r>
      <w:r w:rsidR="000E211C">
        <w:rPr>
          <w:vertAlign w:val="subscript"/>
          <w:lang w:val="en-US"/>
        </w:rPr>
        <w:t>c</w:t>
      </w:r>
      <w:r w:rsidR="00861871">
        <w:rPr>
          <w:sz w:val="24"/>
          <w:szCs w:val="24"/>
          <w:lang w:val="en-US"/>
        </w:rPr>
        <w:t xml:space="preserve">. </w:t>
      </w:r>
    </w:p>
    <w:p w:rsidR="00611931" w:rsidRDefault="00611931">
      <w:pPr>
        <w:rPr>
          <w:sz w:val="24"/>
          <w:szCs w:val="24"/>
          <w:lang w:val="en-US"/>
        </w:rPr>
      </w:pPr>
    </w:p>
    <w:p w:rsidR="00611931" w:rsidRDefault="00611931">
      <w:pPr>
        <w:rPr>
          <w:sz w:val="24"/>
          <w:szCs w:val="24"/>
          <w:lang w:val="en-US"/>
        </w:rPr>
      </w:pPr>
    </w:p>
    <w:p w:rsidR="00611931" w:rsidRDefault="00611931">
      <w:pPr>
        <w:rPr>
          <w:sz w:val="24"/>
          <w:szCs w:val="24"/>
          <w:lang w:val="en-US"/>
        </w:rPr>
      </w:pPr>
    </w:p>
    <w:p w:rsidR="00611931" w:rsidRDefault="00611931">
      <w:pPr>
        <w:rPr>
          <w:sz w:val="24"/>
          <w:szCs w:val="24"/>
          <w:lang w:val="en-US"/>
        </w:rPr>
      </w:pPr>
    </w:p>
    <w:p w:rsidR="008B10CB" w:rsidRDefault="008B10CB">
      <w:pPr>
        <w:rPr>
          <w:sz w:val="24"/>
          <w:szCs w:val="24"/>
          <w:lang w:val="en-US"/>
        </w:rPr>
      </w:pPr>
    </w:p>
    <w:p w:rsidR="00611931" w:rsidRDefault="00611931">
      <w:pPr>
        <w:rPr>
          <w:sz w:val="24"/>
          <w:szCs w:val="24"/>
          <w:lang w:val="en-US"/>
        </w:rPr>
      </w:pPr>
    </w:p>
    <w:p w:rsidR="00611931" w:rsidRDefault="00611931">
      <w:pPr>
        <w:rPr>
          <w:sz w:val="24"/>
          <w:szCs w:val="24"/>
          <w:lang w:val="en-US"/>
        </w:rPr>
      </w:pPr>
    </w:p>
    <w:p w:rsidR="00611931" w:rsidRDefault="00611931">
      <w:pPr>
        <w:rPr>
          <w:sz w:val="24"/>
          <w:szCs w:val="24"/>
          <w:lang w:val="en-US"/>
        </w:rPr>
      </w:pPr>
    </w:p>
    <w:p w:rsidR="009219FE" w:rsidRDefault="009219FE">
      <w:pPr>
        <w:rPr>
          <w:b/>
          <w:lang w:val="en-US"/>
        </w:rPr>
      </w:pPr>
    </w:p>
    <w:p w:rsidR="00611931" w:rsidRPr="009219FE" w:rsidRDefault="00022F9B">
      <w:pPr>
        <w:rPr>
          <w:sz w:val="20"/>
          <w:szCs w:val="20"/>
          <w:lang w:val="en-US"/>
        </w:rPr>
      </w:pPr>
      <w:proofErr w:type="gramStart"/>
      <w:r w:rsidRPr="009219FE">
        <w:rPr>
          <w:b/>
          <w:sz w:val="20"/>
          <w:szCs w:val="20"/>
          <w:lang w:val="en-US"/>
        </w:rPr>
        <w:lastRenderedPageBreak/>
        <w:t xml:space="preserve">Figure </w:t>
      </w:r>
      <w:r w:rsidR="008B10CB" w:rsidRPr="009219FE">
        <w:rPr>
          <w:b/>
          <w:sz w:val="20"/>
          <w:szCs w:val="20"/>
          <w:lang w:val="en-US"/>
        </w:rPr>
        <w:t>1</w:t>
      </w:r>
      <w:r w:rsidRPr="009219FE">
        <w:rPr>
          <w:b/>
          <w:sz w:val="20"/>
          <w:szCs w:val="20"/>
          <w:lang w:val="en-US"/>
        </w:rPr>
        <w:t>.</w:t>
      </w:r>
      <w:proofErr w:type="gramEnd"/>
      <w:r w:rsidR="008B10CB" w:rsidRPr="009219FE">
        <w:rPr>
          <w:sz w:val="20"/>
          <w:szCs w:val="20"/>
          <w:lang w:val="en-US"/>
        </w:rPr>
        <w:t xml:space="preserve"> </w:t>
      </w:r>
      <w:proofErr w:type="gramStart"/>
      <w:r w:rsidR="008B10CB" w:rsidRPr="009219FE">
        <w:rPr>
          <w:sz w:val="20"/>
          <w:szCs w:val="20"/>
          <w:lang w:val="en-US"/>
        </w:rPr>
        <w:t>Compa</w:t>
      </w:r>
      <w:r w:rsidR="00861871" w:rsidRPr="009219FE">
        <w:rPr>
          <w:sz w:val="20"/>
          <w:szCs w:val="20"/>
          <w:lang w:val="en-US"/>
        </w:rPr>
        <w:t>rison of the BIPM</w:t>
      </w:r>
      <w:r w:rsidR="008B10CB" w:rsidRPr="009219FE">
        <w:rPr>
          <w:sz w:val="20"/>
          <w:szCs w:val="20"/>
          <w:lang w:val="en-US"/>
        </w:rPr>
        <w:t xml:space="preserve"> absorbed-dose standard with the codes of practice AAPM TG-61 and IAEA TRS-277.</w:t>
      </w:r>
      <w:proofErr w:type="gramEnd"/>
      <w:r w:rsidR="008B10CB" w:rsidRPr="009219FE">
        <w:rPr>
          <w:sz w:val="20"/>
          <w:szCs w:val="20"/>
          <w:lang w:val="en-US"/>
        </w:rPr>
        <w:t xml:space="preserve"> The solid line represents the BIPM standard and the dotted lines the limits of the standard uncertainty.</w:t>
      </w:r>
    </w:p>
    <w:p w:rsidR="009219FE" w:rsidRDefault="009219FE" w:rsidP="009219FE">
      <w:pPr>
        <w:rPr>
          <w:sz w:val="24"/>
          <w:szCs w:val="24"/>
          <w:lang w:val="en-US"/>
        </w:rPr>
      </w:pPr>
      <w:r>
        <w:rPr>
          <w:sz w:val="24"/>
          <w:szCs w:val="24"/>
          <w:lang w:val="en-US"/>
        </w:rPr>
        <w:t xml:space="preserve">For the AAPM TG-61 protocol (Ma </w:t>
      </w:r>
      <w:r w:rsidRPr="00BB6698">
        <w:rPr>
          <w:i/>
          <w:sz w:val="24"/>
          <w:szCs w:val="24"/>
          <w:lang w:val="en-US"/>
        </w:rPr>
        <w:t>et al</w:t>
      </w:r>
      <w:r>
        <w:rPr>
          <w:sz w:val="24"/>
          <w:szCs w:val="24"/>
          <w:lang w:val="en-US"/>
        </w:rPr>
        <w:t xml:space="preserve"> 2001), the comparison is made for the Exradin A12 chamber using the measured charge ratios </w:t>
      </w:r>
      <w:proofErr w:type="spellStart"/>
      <w:r>
        <w:rPr>
          <w:i/>
          <w:sz w:val="24"/>
          <w:szCs w:val="24"/>
          <w:lang w:val="en-US"/>
        </w:rPr>
        <w:t>Q</w:t>
      </w:r>
      <w:r w:rsidRPr="00835B9F">
        <w:rPr>
          <w:sz w:val="24"/>
          <w:szCs w:val="24"/>
          <w:vertAlign w:val="subscript"/>
          <w:lang w:val="en-US"/>
        </w:rPr>
        <w:t>w</w:t>
      </w:r>
      <w:proofErr w:type="spellEnd"/>
      <w:r>
        <w:rPr>
          <w:sz w:val="24"/>
          <w:szCs w:val="24"/>
          <w:lang w:val="en-US"/>
        </w:rPr>
        <w:t>/</w:t>
      </w:r>
      <w:proofErr w:type="spellStart"/>
      <w:r>
        <w:rPr>
          <w:i/>
          <w:sz w:val="24"/>
          <w:szCs w:val="24"/>
          <w:lang w:val="en-US"/>
        </w:rPr>
        <w:t>Q</w:t>
      </w:r>
      <w:r w:rsidRPr="00EF7675">
        <w:rPr>
          <w:sz w:val="24"/>
          <w:szCs w:val="24"/>
          <w:vertAlign w:val="subscript"/>
          <w:lang w:val="en-US"/>
        </w:rPr>
        <w:t>a</w:t>
      </w:r>
      <w:r>
        <w:rPr>
          <w:sz w:val="24"/>
          <w:szCs w:val="24"/>
          <w:vertAlign w:val="subscript"/>
          <w:lang w:val="en-US"/>
        </w:rPr>
        <w:t>ir</w:t>
      </w:r>
      <w:proofErr w:type="spellEnd"/>
      <w:r>
        <w:rPr>
          <w:sz w:val="24"/>
          <w:szCs w:val="24"/>
          <w:lang w:val="en-US"/>
        </w:rPr>
        <w:t xml:space="preserve"> from Table 3, the </w:t>
      </w:r>
      <w:proofErr w:type="spellStart"/>
      <w:r w:rsidR="00AF345E">
        <w:rPr>
          <w:i/>
          <w:sz w:val="24"/>
          <w:szCs w:val="24"/>
          <w:lang w:val="en-US"/>
        </w:rPr>
        <w:t>C</w:t>
      </w:r>
      <w:r w:rsidR="00AF345E">
        <w:rPr>
          <w:sz w:val="24"/>
          <w:szCs w:val="24"/>
          <w:vertAlign w:val="subscript"/>
          <w:lang w:val="en-US"/>
        </w:rPr>
        <w:t>w</w:t>
      </w:r>
      <w:proofErr w:type="gramStart"/>
      <w:r w:rsidR="00AF345E">
        <w:rPr>
          <w:sz w:val="24"/>
          <w:szCs w:val="24"/>
          <w:vertAlign w:val="subscript"/>
          <w:lang w:val="en-US"/>
        </w:rPr>
        <w:t>,</w:t>
      </w:r>
      <w:r w:rsidRPr="00EF7675">
        <w:rPr>
          <w:sz w:val="24"/>
          <w:szCs w:val="24"/>
          <w:vertAlign w:val="subscript"/>
          <w:lang w:val="en-US"/>
        </w:rPr>
        <w:t>air</w:t>
      </w:r>
      <w:proofErr w:type="spellEnd"/>
      <w:proofErr w:type="gramEnd"/>
      <w:r>
        <w:rPr>
          <w:sz w:val="24"/>
          <w:szCs w:val="24"/>
          <w:lang w:val="en-US"/>
        </w:rPr>
        <w:t xml:space="preserve"> values from Table 4, the (</w:t>
      </w:r>
      <w:r w:rsidRPr="00415AFE">
        <w:rPr>
          <w:i/>
          <w:sz w:val="24"/>
          <w:szCs w:val="24"/>
          <w:lang w:val="en-US"/>
        </w:rPr>
        <w:t>µ</w:t>
      </w:r>
      <w:proofErr w:type="spellStart"/>
      <w:r w:rsidRPr="00415AFE">
        <w:rPr>
          <w:sz w:val="24"/>
          <w:szCs w:val="24"/>
          <w:vertAlign w:val="subscript"/>
          <w:lang w:val="en-US"/>
        </w:rPr>
        <w:t>en</w:t>
      </w:r>
      <w:proofErr w:type="spellEnd"/>
      <w:r>
        <w:rPr>
          <w:sz w:val="24"/>
          <w:szCs w:val="24"/>
          <w:lang w:val="en-US"/>
        </w:rPr>
        <w:t>/</w:t>
      </w:r>
      <w:r w:rsidRPr="00415AFE">
        <w:rPr>
          <w:rFonts w:ascii="Symbol" w:hAnsi="Symbol"/>
          <w:i/>
          <w:sz w:val="24"/>
          <w:szCs w:val="24"/>
          <w:lang w:val="en-US"/>
        </w:rPr>
        <w:t></w:t>
      </w:r>
      <w:r>
        <w:rPr>
          <w:sz w:val="24"/>
          <w:szCs w:val="24"/>
          <w:lang w:val="en-US"/>
        </w:rPr>
        <w:t>)</w:t>
      </w:r>
      <w:proofErr w:type="spellStart"/>
      <w:r w:rsidRPr="00415AFE">
        <w:rPr>
          <w:sz w:val="24"/>
          <w:szCs w:val="24"/>
          <w:vertAlign w:val="subscript"/>
          <w:lang w:val="en-US"/>
        </w:rPr>
        <w:t>w,air</w:t>
      </w:r>
      <w:proofErr w:type="spellEnd"/>
      <w:r>
        <w:rPr>
          <w:sz w:val="24"/>
          <w:szCs w:val="24"/>
          <w:lang w:val="en-US"/>
        </w:rPr>
        <w:t xml:space="preserve"> values from Table VII of TG-61 and the chamber perturbation factors </w:t>
      </w:r>
      <w:proofErr w:type="spellStart"/>
      <w:r w:rsidRPr="00EF7675">
        <w:rPr>
          <w:i/>
          <w:sz w:val="24"/>
          <w:szCs w:val="24"/>
          <w:lang w:val="en-US"/>
        </w:rPr>
        <w:t>P</w:t>
      </w:r>
      <w:r w:rsidRPr="00EF7675">
        <w:rPr>
          <w:i/>
          <w:sz w:val="24"/>
          <w:szCs w:val="24"/>
          <w:vertAlign w:val="subscript"/>
          <w:lang w:val="en-US"/>
        </w:rPr>
        <w:t>Q</w:t>
      </w:r>
      <w:r w:rsidRPr="00EF7675">
        <w:rPr>
          <w:sz w:val="24"/>
          <w:szCs w:val="24"/>
          <w:vertAlign w:val="subscript"/>
          <w:lang w:val="en-US"/>
        </w:rPr>
        <w:t>,cham</w:t>
      </w:r>
      <w:proofErr w:type="spellEnd"/>
      <w:r>
        <w:rPr>
          <w:sz w:val="24"/>
          <w:szCs w:val="24"/>
          <w:lang w:val="en-US"/>
        </w:rPr>
        <w:t xml:space="preserve"> from Table VIII for the Exradin A12 chamber type (the PTW30013 chamber type is not included in the protocol). In the IAEA TRS</w:t>
      </w:r>
      <w:r>
        <w:rPr>
          <w:sz w:val="24"/>
          <w:szCs w:val="24"/>
          <w:lang w:val="en-US"/>
        </w:rPr>
        <w:noBreakHyphen/>
        <w:t xml:space="preserve">277 code (IAEA 1997), thimble chambers are treated generically. We see already in Table 3 a difference of up to 0.7 % in </w:t>
      </w:r>
      <w:proofErr w:type="spellStart"/>
      <w:r>
        <w:rPr>
          <w:i/>
          <w:sz w:val="24"/>
          <w:szCs w:val="24"/>
          <w:lang w:val="en-US"/>
        </w:rPr>
        <w:t>Q</w:t>
      </w:r>
      <w:r w:rsidRPr="00EF7675">
        <w:rPr>
          <w:sz w:val="24"/>
          <w:szCs w:val="24"/>
          <w:vertAlign w:val="subscript"/>
          <w:lang w:val="en-US"/>
        </w:rPr>
        <w:t>w</w:t>
      </w:r>
      <w:proofErr w:type="spellEnd"/>
      <w:r>
        <w:rPr>
          <w:sz w:val="24"/>
          <w:szCs w:val="24"/>
          <w:lang w:val="en-US"/>
        </w:rPr>
        <w:t>/</w:t>
      </w:r>
      <w:proofErr w:type="spellStart"/>
      <w:r>
        <w:rPr>
          <w:i/>
          <w:sz w:val="24"/>
          <w:szCs w:val="24"/>
          <w:lang w:val="en-US"/>
        </w:rPr>
        <w:t>Q</w:t>
      </w:r>
      <w:r w:rsidRPr="00EF7675">
        <w:rPr>
          <w:sz w:val="24"/>
          <w:szCs w:val="24"/>
          <w:vertAlign w:val="subscript"/>
          <w:lang w:val="en-US"/>
        </w:rPr>
        <w:t>air</w:t>
      </w:r>
      <w:proofErr w:type="spellEnd"/>
      <w:r>
        <w:rPr>
          <w:sz w:val="24"/>
          <w:szCs w:val="24"/>
          <w:lang w:val="en-US"/>
        </w:rPr>
        <w:t xml:space="preserve"> for the two thimble chambers at a given quality; for the comparison with TRS-277, the mean is used. The values for (</w:t>
      </w:r>
      <w:r w:rsidRPr="00415AFE">
        <w:rPr>
          <w:i/>
          <w:sz w:val="24"/>
          <w:szCs w:val="24"/>
          <w:lang w:val="en-US"/>
        </w:rPr>
        <w:t>µ</w:t>
      </w:r>
      <w:proofErr w:type="spellStart"/>
      <w:r w:rsidRPr="00415AFE">
        <w:rPr>
          <w:sz w:val="24"/>
          <w:szCs w:val="24"/>
          <w:vertAlign w:val="subscript"/>
          <w:lang w:val="en-US"/>
        </w:rPr>
        <w:t>en</w:t>
      </w:r>
      <w:proofErr w:type="spellEnd"/>
      <w:r>
        <w:rPr>
          <w:sz w:val="24"/>
          <w:szCs w:val="24"/>
          <w:lang w:val="en-US"/>
        </w:rPr>
        <w:t>/</w:t>
      </w:r>
      <w:r w:rsidRPr="00415AFE">
        <w:rPr>
          <w:rFonts w:ascii="Symbol" w:hAnsi="Symbol"/>
          <w:i/>
          <w:sz w:val="24"/>
          <w:szCs w:val="24"/>
          <w:lang w:val="en-US"/>
        </w:rPr>
        <w:t></w:t>
      </w:r>
      <w:proofErr w:type="gramStart"/>
      <w:r>
        <w:rPr>
          <w:sz w:val="24"/>
          <w:szCs w:val="24"/>
          <w:lang w:val="en-US"/>
        </w:rPr>
        <w:t>)</w:t>
      </w:r>
      <w:proofErr w:type="spellStart"/>
      <w:r w:rsidRPr="00415AFE">
        <w:rPr>
          <w:sz w:val="24"/>
          <w:szCs w:val="24"/>
          <w:vertAlign w:val="subscript"/>
          <w:lang w:val="en-US"/>
        </w:rPr>
        <w:t>w,air</w:t>
      </w:r>
      <w:proofErr w:type="spellEnd"/>
      <w:proofErr w:type="gramEnd"/>
      <w:r>
        <w:rPr>
          <w:sz w:val="24"/>
          <w:szCs w:val="24"/>
          <w:lang w:val="en-US"/>
        </w:rPr>
        <w:t xml:space="preserve"> are taken from Table XIV of TRS-277 and those for the perturbation factor </w:t>
      </w:r>
      <w:proofErr w:type="spellStart"/>
      <w:r w:rsidRPr="00A52BC0">
        <w:rPr>
          <w:i/>
          <w:sz w:val="24"/>
          <w:szCs w:val="24"/>
          <w:lang w:val="en-US"/>
        </w:rPr>
        <w:t>p</w:t>
      </w:r>
      <w:r w:rsidRPr="00A52BC0">
        <w:rPr>
          <w:sz w:val="24"/>
          <w:szCs w:val="24"/>
          <w:vertAlign w:val="subscript"/>
          <w:lang w:val="en-US"/>
        </w:rPr>
        <w:t>u</w:t>
      </w:r>
      <w:proofErr w:type="spellEnd"/>
      <w:r>
        <w:rPr>
          <w:sz w:val="24"/>
          <w:szCs w:val="24"/>
          <w:lang w:val="en-US"/>
        </w:rPr>
        <w:t xml:space="preserve"> from the revised Table XV (with a stated standard uncertainty of 2 %).</w:t>
      </w:r>
    </w:p>
    <w:p w:rsidR="00611931" w:rsidRDefault="00022F9B">
      <w:pPr>
        <w:rPr>
          <w:sz w:val="24"/>
          <w:szCs w:val="24"/>
          <w:lang w:val="en-US"/>
        </w:rPr>
      </w:pPr>
      <w:r>
        <w:rPr>
          <w:sz w:val="24"/>
          <w:szCs w:val="24"/>
          <w:lang w:val="en-US"/>
        </w:rPr>
        <w:t xml:space="preserve">With the exception of the 100 kV result for TRS-277, the codes of practice agree with the BIPM determination </w:t>
      </w:r>
      <w:r w:rsidR="007A6B96">
        <w:rPr>
          <w:sz w:val="24"/>
          <w:szCs w:val="24"/>
          <w:lang w:val="en-US"/>
        </w:rPr>
        <w:t xml:space="preserve">at the 1 % level, which is </w:t>
      </w:r>
      <w:r>
        <w:rPr>
          <w:sz w:val="24"/>
          <w:szCs w:val="24"/>
          <w:lang w:val="en-US"/>
        </w:rPr>
        <w:t>well within the stated uncertainty of the codes. C</w:t>
      </w:r>
      <w:r w:rsidR="00861871">
        <w:rPr>
          <w:sz w:val="24"/>
          <w:szCs w:val="24"/>
          <w:lang w:val="en-US"/>
        </w:rPr>
        <w:t>onsequently, c</w:t>
      </w:r>
      <w:r>
        <w:rPr>
          <w:sz w:val="24"/>
          <w:szCs w:val="24"/>
          <w:lang w:val="en-US"/>
        </w:rPr>
        <w:t xml:space="preserve">alibrations traceable to the new standard will not result in a significant change in the </w:t>
      </w:r>
      <w:r w:rsidR="00AE759A">
        <w:rPr>
          <w:sz w:val="24"/>
          <w:szCs w:val="24"/>
          <w:lang w:val="en-US"/>
        </w:rPr>
        <w:t xml:space="preserve">reference </w:t>
      </w:r>
      <w:r w:rsidR="007A6B96">
        <w:rPr>
          <w:sz w:val="24"/>
          <w:szCs w:val="24"/>
          <w:lang w:val="en-US"/>
        </w:rPr>
        <w:t xml:space="preserve">absorbed </w:t>
      </w:r>
      <w:r>
        <w:rPr>
          <w:sz w:val="24"/>
          <w:szCs w:val="24"/>
          <w:lang w:val="en-US"/>
        </w:rPr>
        <w:t>dose</w:t>
      </w:r>
      <w:r w:rsidR="00AE759A">
        <w:rPr>
          <w:sz w:val="24"/>
          <w:szCs w:val="24"/>
          <w:lang w:val="en-US"/>
        </w:rPr>
        <w:t xml:space="preserve">. However, </w:t>
      </w:r>
      <w:r>
        <w:rPr>
          <w:sz w:val="24"/>
          <w:szCs w:val="24"/>
          <w:lang w:val="en-US"/>
        </w:rPr>
        <w:t xml:space="preserve">the uncertainty is reduced by </w:t>
      </w:r>
      <w:r w:rsidR="00AE759A">
        <w:rPr>
          <w:sz w:val="24"/>
          <w:szCs w:val="24"/>
          <w:lang w:val="en-US"/>
        </w:rPr>
        <w:t xml:space="preserve">a factor of </w:t>
      </w:r>
      <w:r w:rsidR="00861871">
        <w:rPr>
          <w:sz w:val="24"/>
          <w:szCs w:val="24"/>
          <w:lang w:val="en-US"/>
        </w:rPr>
        <w:t xml:space="preserve">around </w:t>
      </w:r>
      <w:r w:rsidR="00AE759A">
        <w:rPr>
          <w:sz w:val="24"/>
          <w:szCs w:val="24"/>
          <w:lang w:val="en-US"/>
        </w:rPr>
        <w:t>four.</w:t>
      </w:r>
    </w:p>
    <w:p w:rsidR="00417F30" w:rsidRPr="000E211C" w:rsidRDefault="00417F30" w:rsidP="007A6B96">
      <w:pPr>
        <w:spacing w:after="100"/>
        <w:rPr>
          <w:b/>
          <w:sz w:val="20"/>
          <w:szCs w:val="20"/>
          <w:lang w:val="en-US"/>
        </w:rPr>
      </w:pPr>
      <w:r w:rsidRPr="000E211C">
        <w:rPr>
          <w:b/>
          <w:sz w:val="20"/>
          <w:szCs w:val="20"/>
          <w:lang w:val="en-US"/>
        </w:rPr>
        <w:t>References</w:t>
      </w:r>
    </w:p>
    <w:p w:rsidR="00866F6D" w:rsidRPr="000E211C" w:rsidRDefault="00866F6D" w:rsidP="007A6B96">
      <w:pPr>
        <w:spacing w:after="40"/>
        <w:ind w:left="142" w:hanging="142"/>
        <w:rPr>
          <w:sz w:val="20"/>
          <w:szCs w:val="20"/>
          <w:lang w:val="en-US"/>
        </w:rPr>
      </w:pPr>
      <w:r w:rsidRPr="000E211C">
        <w:rPr>
          <w:sz w:val="20"/>
          <w:szCs w:val="20"/>
          <w:lang w:val="en-US"/>
        </w:rPr>
        <w:t xml:space="preserve">Ma C </w:t>
      </w:r>
      <w:r w:rsidRPr="00BB6698">
        <w:rPr>
          <w:i/>
          <w:sz w:val="20"/>
          <w:szCs w:val="20"/>
          <w:lang w:val="en-US"/>
        </w:rPr>
        <w:t>et al</w:t>
      </w:r>
      <w:r w:rsidRPr="000E211C">
        <w:rPr>
          <w:sz w:val="20"/>
          <w:szCs w:val="20"/>
          <w:lang w:val="en-US"/>
        </w:rPr>
        <w:t xml:space="preserve"> 2001 AAPM protocol for 40–300 kV x-ray beam dosimetry in radiotherapy and radiobiology (TG-61) </w:t>
      </w:r>
      <w:r w:rsidRPr="000E211C">
        <w:rPr>
          <w:i/>
          <w:sz w:val="20"/>
          <w:szCs w:val="20"/>
          <w:lang w:val="en-US"/>
        </w:rPr>
        <w:t>Med. Phys.</w:t>
      </w:r>
      <w:r w:rsidRPr="000E211C">
        <w:rPr>
          <w:sz w:val="20"/>
          <w:szCs w:val="20"/>
          <w:lang w:val="en-US"/>
        </w:rPr>
        <w:t xml:space="preserve"> </w:t>
      </w:r>
      <w:r w:rsidRPr="000E211C">
        <w:rPr>
          <w:b/>
          <w:sz w:val="20"/>
          <w:szCs w:val="20"/>
          <w:lang w:val="en-US"/>
        </w:rPr>
        <w:t>28</w:t>
      </w:r>
      <w:r w:rsidRPr="000E211C">
        <w:rPr>
          <w:sz w:val="20"/>
          <w:szCs w:val="20"/>
          <w:lang w:val="en-US"/>
        </w:rPr>
        <w:t xml:space="preserve"> 868–93 </w:t>
      </w:r>
    </w:p>
    <w:p w:rsidR="001B6B71" w:rsidRPr="000E211C" w:rsidRDefault="001B6B71" w:rsidP="007A6B96">
      <w:pPr>
        <w:spacing w:after="40"/>
        <w:ind w:left="142" w:hanging="142"/>
        <w:rPr>
          <w:sz w:val="20"/>
          <w:szCs w:val="20"/>
          <w:lang w:val="en-US"/>
        </w:rPr>
      </w:pPr>
      <w:r w:rsidRPr="000E211C">
        <w:rPr>
          <w:sz w:val="20"/>
          <w:szCs w:val="20"/>
          <w:lang w:val="en-US"/>
        </w:rPr>
        <w:t xml:space="preserve">Andreo P, Burns DT and Salvat F 2012 </w:t>
      </w:r>
      <w:proofErr w:type="gramStart"/>
      <w:r w:rsidRPr="000E211C">
        <w:rPr>
          <w:sz w:val="20"/>
          <w:szCs w:val="20"/>
          <w:lang w:val="en-US"/>
        </w:rPr>
        <w:t>On</w:t>
      </w:r>
      <w:proofErr w:type="gramEnd"/>
      <w:r w:rsidRPr="000E211C">
        <w:rPr>
          <w:sz w:val="20"/>
          <w:szCs w:val="20"/>
          <w:lang w:val="en-US"/>
        </w:rPr>
        <w:t xml:space="preserve"> the uncertainty of photon mass energy-absorption coefficients and their ratios for radiation dosimetry </w:t>
      </w:r>
      <w:r w:rsidRPr="000E211C">
        <w:rPr>
          <w:i/>
          <w:sz w:val="20"/>
          <w:szCs w:val="20"/>
          <w:lang w:val="en-US"/>
        </w:rPr>
        <w:t>Phys. Med. Biol.</w:t>
      </w:r>
      <w:r w:rsidRPr="000E211C">
        <w:rPr>
          <w:sz w:val="20"/>
          <w:szCs w:val="20"/>
          <w:lang w:val="en-US"/>
        </w:rPr>
        <w:t xml:space="preserve"> 57 2117–36</w:t>
      </w:r>
    </w:p>
    <w:p w:rsidR="00A423F8" w:rsidRPr="000E211C" w:rsidRDefault="00A423F8" w:rsidP="007A6B96">
      <w:pPr>
        <w:spacing w:after="40"/>
        <w:ind w:left="142" w:hanging="142"/>
        <w:rPr>
          <w:sz w:val="20"/>
          <w:szCs w:val="20"/>
          <w:lang w:val="en-US"/>
        </w:rPr>
      </w:pPr>
      <w:r w:rsidRPr="000E211C">
        <w:rPr>
          <w:sz w:val="20"/>
          <w:szCs w:val="20"/>
          <w:lang w:val="en-US"/>
        </w:rPr>
        <w:t xml:space="preserve">Burns D T 2006 A new approach to the determination of air kerma using primary-standard cavity ionization chambers </w:t>
      </w:r>
      <w:r w:rsidRPr="000E211C">
        <w:rPr>
          <w:i/>
          <w:sz w:val="20"/>
          <w:szCs w:val="20"/>
          <w:lang w:val="en-US"/>
        </w:rPr>
        <w:t>Phys. Med. Biol.</w:t>
      </w:r>
      <w:r w:rsidRPr="000E211C">
        <w:rPr>
          <w:sz w:val="20"/>
          <w:szCs w:val="20"/>
          <w:lang w:val="en-US"/>
        </w:rPr>
        <w:t xml:space="preserve"> </w:t>
      </w:r>
      <w:r w:rsidRPr="000E211C">
        <w:rPr>
          <w:b/>
          <w:sz w:val="20"/>
          <w:szCs w:val="20"/>
          <w:lang w:val="en-US"/>
        </w:rPr>
        <w:t>51</w:t>
      </w:r>
      <w:r w:rsidRPr="000E211C">
        <w:rPr>
          <w:sz w:val="20"/>
          <w:szCs w:val="20"/>
          <w:lang w:val="en-US"/>
        </w:rPr>
        <w:t> 929–42</w:t>
      </w:r>
    </w:p>
    <w:p w:rsidR="00866F6D" w:rsidRPr="000E211C" w:rsidRDefault="00866F6D" w:rsidP="007A6B96">
      <w:pPr>
        <w:spacing w:after="40"/>
        <w:ind w:left="142" w:hanging="142"/>
        <w:rPr>
          <w:sz w:val="20"/>
          <w:szCs w:val="20"/>
          <w:lang w:val="en-US"/>
        </w:rPr>
      </w:pPr>
      <w:r w:rsidRPr="000E211C">
        <w:rPr>
          <w:sz w:val="20"/>
          <w:szCs w:val="20"/>
          <w:lang w:val="en-US"/>
        </w:rPr>
        <w:t>IAEA 1997</w:t>
      </w:r>
      <w:r w:rsidR="006D02FF" w:rsidRPr="000E211C">
        <w:rPr>
          <w:sz w:val="20"/>
          <w:szCs w:val="20"/>
          <w:lang w:val="en-US"/>
        </w:rPr>
        <w:t xml:space="preserve"> Absorbed dose determination in photon and electron beams. </w:t>
      </w:r>
      <w:proofErr w:type="gramStart"/>
      <w:r w:rsidR="006D02FF" w:rsidRPr="000E211C">
        <w:rPr>
          <w:sz w:val="20"/>
          <w:szCs w:val="20"/>
          <w:lang w:val="en-US"/>
        </w:rPr>
        <w:t>An International code of practice.</w:t>
      </w:r>
      <w:proofErr w:type="gramEnd"/>
      <w:r w:rsidR="006D02FF" w:rsidRPr="000E211C">
        <w:rPr>
          <w:sz w:val="20"/>
          <w:szCs w:val="20"/>
          <w:lang w:val="en-US"/>
        </w:rPr>
        <w:t xml:space="preserve"> Second Edition </w:t>
      </w:r>
      <w:r w:rsidR="006D02FF" w:rsidRPr="000E211C">
        <w:rPr>
          <w:i/>
          <w:sz w:val="20"/>
          <w:szCs w:val="20"/>
          <w:lang w:val="en-US"/>
        </w:rPr>
        <w:t>Technical Report TRS-277</w:t>
      </w:r>
      <w:r w:rsidR="006D02FF" w:rsidRPr="000E211C">
        <w:rPr>
          <w:sz w:val="20"/>
          <w:szCs w:val="20"/>
          <w:lang w:val="en-US"/>
        </w:rPr>
        <w:t xml:space="preserve"> (International Atomic Energy Agency, Vienna)</w:t>
      </w:r>
    </w:p>
    <w:p w:rsidR="00716FE5" w:rsidRPr="000E211C" w:rsidRDefault="00716FE5" w:rsidP="007A6B96">
      <w:pPr>
        <w:spacing w:after="40"/>
        <w:ind w:left="142" w:hanging="142"/>
        <w:rPr>
          <w:sz w:val="20"/>
          <w:szCs w:val="20"/>
          <w:lang w:val="en-US"/>
        </w:rPr>
      </w:pPr>
      <w:r w:rsidRPr="000E211C">
        <w:rPr>
          <w:sz w:val="20"/>
          <w:szCs w:val="20"/>
          <w:lang w:val="en-US"/>
        </w:rPr>
        <w:t xml:space="preserve">ICRU 2016 Key data for ionizing-radiation dosimetry: Measurement standards and applications </w:t>
      </w:r>
      <w:r w:rsidRPr="000E211C">
        <w:rPr>
          <w:i/>
          <w:sz w:val="20"/>
          <w:szCs w:val="20"/>
          <w:lang w:val="en-US"/>
        </w:rPr>
        <w:t>ICRU Report 37</w:t>
      </w:r>
      <w:r w:rsidRPr="000E211C">
        <w:rPr>
          <w:sz w:val="20"/>
          <w:szCs w:val="20"/>
          <w:lang w:val="en-US"/>
        </w:rPr>
        <w:t xml:space="preserve"> (International Commission on Radiation Units and Measurements, Bethesda, MD)</w:t>
      </w:r>
    </w:p>
    <w:p w:rsidR="00555A70" w:rsidRPr="000E211C" w:rsidRDefault="00555A70" w:rsidP="007A6B96">
      <w:pPr>
        <w:spacing w:after="40"/>
        <w:ind w:left="142" w:hanging="142"/>
        <w:rPr>
          <w:sz w:val="20"/>
          <w:szCs w:val="20"/>
          <w:lang w:val="en-US"/>
        </w:rPr>
      </w:pPr>
      <w:proofErr w:type="spellStart"/>
      <w:r w:rsidRPr="000E211C">
        <w:rPr>
          <w:sz w:val="20"/>
          <w:szCs w:val="20"/>
          <w:lang w:val="en-US"/>
        </w:rPr>
        <w:t>Poludniowski</w:t>
      </w:r>
      <w:proofErr w:type="spellEnd"/>
      <w:r w:rsidRPr="000E211C">
        <w:rPr>
          <w:sz w:val="20"/>
          <w:szCs w:val="20"/>
          <w:lang w:val="en-US"/>
        </w:rPr>
        <w:t xml:space="preserve"> G, Landry G, </w:t>
      </w:r>
      <w:proofErr w:type="spellStart"/>
      <w:r w:rsidRPr="000E211C">
        <w:rPr>
          <w:sz w:val="20"/>
          <w:szCs w:val="20"/>
          <w:lang w:val="en-US"/>
        </w:rPr>
        <w:t>DeBlois</w:t>
      </w:r>
      <w:proofErr w:type="spellEnd"/>
      <w:r w:rsidRPr="000E211C">
        <w:rPr>
          <w:sz w:val="20"/>
          <w:szCs w:val="20"/>
          <w:lang w:val="en-US"/>
        </w:rPr>
        <w:t xml:space="preserve"> F, Evans P M and Verhaegen F 2009 </w:t>
      </w:r>
      <w:proofErr w:type="spellStart"/>
      <w:r w:rsidRPr="000E211C">
        <w:rPr>
          <w:sz w:val="20"/>
          <w:szCs w:val="20"/>
          <w:lang w:val="en-US"/>
        </w:rPr>
        <w:t>SpekCalc</w:t>
      </w:r>
      <w:proofErr w:type="spellEnd"/>
      <w:r w:rsidRPr="000E211C">
        <w:rPr>
          <w:sz w:val="20"/>
          <w:szCs w:val="20"/>
          <w:lang w:val="en-US"/>
        </w:rPr>
        <w:t xml:space="preserve">: A program to calculate photon spectra from tungsten anode x-ray tubes </w:t>
      </w:r>
      <w:r w:rsidRPr="000E211C">
        <w:rPr>
          <w:i/>
          <w:sz w:val="20"/>
          <w:szCs w:val="20"/>
          <w:lang w:val="en-US"/>
        </w:rPr>
        <w:t>Phys. Med. Biol.</w:t>
      </w:r>
      <w:r w:rsidRPr="000E211C">
        <w:rPr>
          <w:sz w:val="20"/>
          <w:szCs w:val="20"/>
          <w:lang w:val="en-US"/>
        </w:rPr>
        <w:t xml:space="preserve"> </w:t>
      </w:r>
      <w:r w:rsidRPr="000E211C">
        <w:rPr>
          <w:b/>
          <w:sz w:val="20"/>
          <w:szCs w:val="20"/>
          <w:lang w:val="en-US"/>
        </w:rPr>
        <w:t>54</w:t>
      </w:r>
      <w:r w:rsidRPr="000E211C">
        <w:rPr>
          <w:sz w:val="20"/>
          <w:szCs w:val="20"/>
          <w:lang w:val="en-US"/>
        </w:rPr>
        <w:t xml:space="preserve"> N433–38</w:t>
      </w:r>
    </w:p>
    <w:p w:rsidR="00F53B70" w:rsidRPr="000E211C" w:rsidRDefault="00EF39C6" w:rsidP="007A6B96">
      <w:pPr>
        <w:spacing w:after="40"/>
        <w:ind w:left="142" w:hanging="142"/>
        <w:rPr>
          <w:sz w:val="20"/>
          <w:szCs w:val="20"/>
          <w:lang w:val="en-US"/>
        </w:rPr>
      </w:pPr>
      <w:proofErr w:type="spellStart"/>
      <w:r w:rsidRPr="000E211C">
        <w:rPr>
          <w:sz w:val="20"/>
          <w:szCs w:val="20"/>
          <w:lang w:val="en-US"/>
        </w:rPr>
        <w:t>Salvat</w:t>
      </w:r>
      <w:proofErr w:type="spellEnd"/>
      <w:r w:rsidRPr="000E211C">
        <w:rPr>
          <w:sz w:val="20"/>
          <w:szCs w:val="20"/>
          <w:lang w:val="en-US"/>
        </w:rPr>
        <w:t xml:space="preserve"> F, Fernandez-</w:t>
      </w:r>
      <w:proofErr w:type="spellStart"/>
      <w:r w:rsidRPr="000E211C">
        <w:rPr>
          <w:sz w:val="20"/>
          <w:szCs w:val="20"/>
          <w:lang w:val="en-US"/>
        </w:rPr>
        <w:t>Varea</w:t>
      </w:r>
      <w:proofErr w:type="spellEnd"/>
      <w:r w:rsidRPr="000E211C">
        <w:rPr>
          <w:sz w:val="20"/>
          <w:szCs w:val="20"/>
          <w:lang w:val="en-US"/>
        </w:rPr>
        <w:t xml:space="preserve"> J M and </w:t>
      </w:r>
      <w:proofErr w:type="spellStart"/>
      <w:r w:rsidRPr="000E211C">
        <w:rPr>
          <w:sz w:val="20"/>
          <w:szCs w:val="20"/>
          <w:lang w:val="en-US"/>
        </w:rPr>
        <w:t>Sempau</w:t>
      </w:r>
      <w:proofErr w:type="spellEnd"/>
      <w:r w:rsidRPr="000E211C">
        <w:rPr>
          <w:sz w:val="20"/>
          <w:szCs w:val="20"/>
          <w:lang w:val="en-US"/>
        </w:rPr>
        <w:t xml:space="preserve"> J 2009 PENELOPE-2008: a code system for Monte Carlo simulation of electron and photon transport </w:t>
      </w:r>
      <w:r w:rsidRPr="000E211C">
        <w:rPr>
          <w:i/>
          <w:sz w:val="20"/>
          <w:szCs w:val="20"/>
          <w:lang w:val="en-US"/>
        </w:rPr>
        <w:t>NEA No. 6416 Workshop Proc. (Barcelona 30 June –3 July 2008)</w:t>
      </w:r>
      <w:r w:rsidRPr="000E211C">
        <w:rPr>
          <w:sz w:val="20"/>
          <w:szCs w:val="20"/>
          <w:lang w:val="en-US"/>
        </w:rPr>
        <w:t xml:space="preserve"> (Paris: NEA/OECD)</w:t>
      </w:r>
    </w:p>
    <w:sectPr w:rsidR="00F53B70" w:rsidRPr="000E211C">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C02" w:rsidRDefault="004D7C02" w:rsidP="00DF5E5B">
      <w:pPr>
        <w:spacing w:after="0" w:line="240" w:lineRule="auto"/>
      </w:pPr>
      <w:r>
        <w:separator/>
      </w:r>
    </w:p>
  </w:endnote>
  <w:endnote w:type="continuationSeparator" w:id="0">
    <w:p w:rsidR="004D7C02" w:rsidRDefault="004D7C02" w:rsidP="00DF5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2E7" w:rsidRDefault="002F52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8111253"/>
      <w:docPartObj>
        <w:docPartGallery w:val="Page Numbers (Bottom of Page)"/>
        <w:docPartUnique/>
      </w:docPartObj>
    </w:sdtPr>
    <w:sdtEndPr/>
    <w:sdtContent>
      <w:sdt>
        <w:sdtPr>
          <w:id w:val="-1293207323"/>
          <w:docPartObj>
            <w:docPartGallery w:val="Page Numbers (Top of Page)"/>
            <w:docPartUnique/>
          </w:docPartObj>
        </w:sdtPr>
        <w:sdtEndPr/>
        <w:sdtContent>
          <w:p w:rsidR="004D7C02" w:rsidRDefault="004D7C02">
            <w:pPr>
              <w:pStyle w:val="Footer"/>
              <w:jc w:val="center"/>
            </w:pPr>
            <w:r w:rsidRPr="00DF5E5B">
              <w:t xml:space="preserve">Page </w:t>
            </w:r>
            <w:r w:rsidRPr="00DF5E5B">
              <w:rPr>
                <w:bCs/>
                <w:sz w:val="24"/>
                <w:szCs w:val="24"/>
              </w:rPr>
              <w:fldChar w:fldCharType="begin"/>
            </w:r>
            <w:r w:rsidRPr="00DF5E5B">
              <w:rPr>
                <w:bCs/>
              </w:rPr>
              <w:instrText>PAGE</w:instrText>
            </w:r>
            <w:r w:rsidRPr="00DF5E5B">
              <w:rPr>
                <w:bCs/>
                <w:sz w:val="24"/>
                <w:szCs w:val="24"/>
              </w:rPr>
              <w:fldChar w:fldCharType="separate"/>
            </w:r>
            <w:r w:rsidR="00E57104">
              <w:rPr>
                <w:bCs/>
                <w:noProof/>
              </w:rPr>
              <w:t>1</w:t>
            </w:r>
            <w:r w:rsidRPr="00DF5E5B">
              <w:rPr>
                <w:bCs/>
                <w:sz w:val="24"/>
                <w:szCs w:val="24"/>
              </w:rPr>
              <w:fldChar w:fldCharType="end"/>
            </w:r>
            <w:r>
              <w:t xml:space="preserve"> of</w:t>
            </w:r>
            <w:r w:rsidRPr="00DF5E5B">
              <w:t xml:space="preserve"> </w:t>
            </w:r>
            <w:r w:rsidRPr="00DF5E5B">
              <w:rPr>
                <w:bCs/>
                <w:sz w:val="24"/>
                <w:szCs w:val="24"/>
              </w:rPr>
              <w:fldChar w:fldCharType="begin"/>
            </w:r>
            <w:r w:rsidRPr="00DF5E5B">
              <w:rPr>
                <w:bCs/>
              </w:rPr>
              <w:instrText>NUMPAGES</w:instrText>
            </w:r>
            <w:r w:rsidRPr="00DF5E5B">
              <w:rPr>
                <w:bCs/>
                <w:sz w:val="24"/>
                <w:szCs w:val="24"/>
              </w:rPr>
              <w:fldChar w:fldCharType="separate"/>
            </w:r>
            <w:r w:rsidR="00E57104">
              <w:rPr>
                <w:bCs/>
                <w:noProof/>
              </w:rPr>
              <w:t>9</w:t>
            </w:r>
            <w:r w:rsidRPr="00DF5E5B">
              <w:rPr>
                <w:bCs/>
                <w:sz w:val="24"/>
                <w:szCs w:val="24"/>
              </w:rPr>
              <w:fldChar w:fldCharType="end"/>
            </w:r>
          </w:p>
        </w:sdtContent>
      </w:sdt>
    </w:sdtContent>
  </w:sdt>
  <w:p w:rsidR="004D7C02" w:rsidRDefault="004D7C0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2E7" w:rsidRDefault="002F52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C02" w:rsidRDefault="004D7C02" w:rsidP="00DF5E5B">
      <w:pPr>
        <w:spacing w:after="0" w:line="240" w:lineRule="auto"/>
      </w:pPr>
      <w:r>
        <w:separator/>
      </w:r>
    </w:p>
  </w:footnote>
  <w:footnote w:type="continuationSeparator" w:id="0">
    <w:p w:rsidR="004D7C02" w:rsidRDefault="004D7C02" w:rsidP="00DF5E5B">
      <w:pPr>
        <w:spacing w:after="0" w:line="240" w:lineRule="auto"/>
      </w:pPr>
      <w:r>
        <w:continuationSeparator/>
      </w:r>
    </w:p>
  </w:footnote>
  <w:footnote w:id="1">
    <w:p w:rsidR="004D7C02" w:rsidRPr="00910F09" w:rsidRDefault="004D7C02">
      <w:pPr>
        <w:pStyle w:val="FootnoteText"/>
        <w:rPr>
          <w:lang w:val="en-US"/>
        </w:rPr>
      </w:pPr>
      <w:r>
        <w:rPr>
          <w:rStyle w:val="FootnoteReference"/>
        </w:rPr>
        <w:footnoteRef/>
      </w:r>
      <w:r w:rsidRPr="00910F09">
        <w:rPr>
          <w:lang w:val="en-US"/>
        </w:rPr>
        <w:t xml:space="preserve"> </w:t>
      </w:r>
      <w:r>
        <w:rPr>
          <w:lang w:val="en-US"/>
        </w:rPr>
        <w:t xml:space="preserve">For 50 keV photons in low-Z materials, the cross section for the photoeffect is around one tenth of that for the Compton </w:t>
      </w:r>
      <w:proofErr w:type="gramStart"/>
      <w:r>
        <w:rPr>
          <w:lang w:val="en-US"/>
        </w:rPr>
        <w:t>effect</w:t>
      </w:r>
      <w:proofErr w:type="gramEnd"/>
      <w:r>
        <w:rPr>
          <w:lang w:val="en-US"/>
        </w:rPr>
        <w:t xml:space="preserve">. However, under these conditions the photoeffect transfers around ten times more energy to the medium per interaction. Furthermore, the present study indicates that correlation in the uncertainty between air and water is significantly less for the photoeffect. Consequently, it is the photoeffect that dominates the uncertainty at 50 keV, and indeed for the 100 kV and 135 kV spectra.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2E7" w:rsidRDefault="002F52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C02" w:rsidRDefault="004D7C02" w:rsidP="00DF5E5B">
    <w:pPr>
      <w:pStyle w:val="Header"/>
      <w:jc w:val="right"/>
    </w:pPr>
    <w:r>
      <w:t>CCRI</w:t>
    </w:r>
    <w:r w:rsidR="002F52E7">
      <w:t>(I)/2017-06</w:t>
    </w:r>
  </w:p>
  <w:p w:rsidR="002F52E7" w:rsidRDefault="00E57104" w:rsidP="00DF5E5B">
    <w:pPr>
      <w:pStyle w:val="Header"/>
      <w:jc w:val="right"/>
    </w:pPr>
    <w:r>
      <w:t>(</w:t>
    </w:r>
    <w:proofErr w:type="spellStart"/>
    <w:r>
      <w:t>revised</w:t>
    </w:r>
    <w:proofErr w:type="spellEnd"/>
    <w:r>
      <w:t xml:space="preserve"> 20170616</w:t>
    </w:r>
    <w:bookmarkStart w:id="0" w:name="_GoBack"/>
    <w:bookmarkEnd w:id="0"/>
    <w:r w:rsidR="002F52E7">
      <w:t>)</w:t>
    </w:r>
  </w:p>
  <w:p w:rsidR="004D7C02" w:rsidRDefault="004D7C0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2E7" w:rsidRDefault="002F52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16D"/>
    <w:rsid w:val="00000C24"/>
    <w:rsid w:val="000033B7"/>
    <w:rsid w:val="000079DD"/>
    <w:rsid w:val="0002020E"/>
    <w:rsid w:val="00022F9B"/>
    <w:rsid w:val="0002629B"/>
    <w:rsid w:val="00047F4B"/>
    <w:rsid w:val="00051233"/>
    <w:rsid w:val="00052E64"/>
    <w:rsid w:val="0005762B"/>
    <w:rsid w:val="0006415D"/>
    <w:rsid w:val="00065F05"/>
    <w:rsid w:val="00066951"/>
    <w:rsid w:val="000710E3"/>
    <w:rsid w:val="000D13DD"/>
    <w:rsid w:val="000D7D86"/>
    <w:rsid w:val="000E211C"/>
    <w:rsid w:val="000E43B9"/>
    <w:rsid w:val="000F1D29"/>
    <w:rsid w:val="001133D2"/>
    <w:rsid w:val="00125A3C"/>
    <w:rsid w:val="0012792C"/>
    <w:rsid w:val="0014041A"/>
    <w:rsid w:val="001450C0"/>
    <w:rsid w:val="001508EC"/>
    <w:rsid w:val="00162B58"/>
    <w:rsid w:val="00173216"/>
    <w:rsid w:val="00175268"/>
    <w:rsid w:val="001760D3"/>
    <w:rsid w:val="001819F2"/>
    <w:rsid w:val="00187370"/>
    <w:rsid w:val="001B6B71"/>
    <w:rsid w:val="001F1364"/>
    <w:rsid w:val="001F5E3F"/>
    <w:rsid w:val="002060C6"/>
    <w:rsid w:val="00220C3E"/>
    <w:rsid w:val="00244255"/>
    <w:rsid w:val="002613E2"/>
    <w:rsid w:val="00265DAF"/>
    <w:rsid w:val="00270E5A"/>
    <w:rsid w:val="00273BEC"/>
    <w:rsid w:val="00283563"/>
    <w:rsid w:val="002A6C61"/>
    <w:rsid w:val="002A7A8A"/>
    <w:rsid w:val="002F14EB"/>
    <w:rsid w:val="002F1B0C"/>
    <w:rsid w:val="002F52E7"/>
    <w:rsid w:val="002F68B5"/>
    <w:rsid w:val="003172B1"/>
    <w:rsid w:val="003456EB"/>
    <w:rsid w:val="003516BB"/>
    <w:rsid w:val="00384FC8"/>
    <w:rsid w:val="0038710D"/>
    <w:rsid w:val="00390D4A"/>
    <w:rsid w:val="003A1338"/>
    <w:rsid w:val="003B546C"/>
    <w:rsid w:val="003C08CC"/>
    <w:rsid w:val="003C3CD3"/>
    <w:rsid w:val="003C6E28"/>
    <w:rsid w:val="003F7B6F"/>
    <w:rsid w:val="00415AFE"/>
    <w:rsid w:val="00417F30"/>
    <w:rsid w:val="00426CDE"/>
    <w:rsid w:val="00442B5F"/>
    <w:rsid w:val="004632CD"/>
    <w:rsid w:val="00465EDE"/>
    <w:rsid w:val="00471059"/>
    <w:rsid w:val="00481AD5"/>
    <w:rsid w:val="0049301E"/>
    <w:rsid w:val="004D0F5B"/>
    <w:rsid w:val="004D7C02"/>
    <w:rsid w:val="004E14BA"/>
    <w:rsid w:val="004E22A9"/>
    <w:rsid w:val="004F177C"/>
    <w:rsid w:val="004F7BE3"/>
    <w:rsid w:val="00500BDA"/>
    <w:rsid w:val="00510372"/>
    <w:rsid w:val="00541FCD"/>
    <w:rsid w:val="005457A6"/>
    <w:rsid w:val="00550B30"/>
    <w:rsid w:val="005543AD"/>
    <w:rsid w:val="00555A70"/>
    <w:rsid w:val="0056498B"/>
    <w:rsid w:val="0056601B"/>
    <w:rsid w:val="00586BC9"/>
    <w:rsid w:val="005A3DE8"/>
    <w:rsid w:val="005B39BB"/>
    <w:rsid w:val="005B69E0"/>
    <w:rsid w:val="005B71FA"/>
    <w:rsid w:val="005C1824"/>
    <w:rsid w:val="005C6938"/>
    <w:rsid w:val="005C7E55"/>
    <w:rsid w:val="005D6E66"/>
    <w:rsid w:val="005E3C82"/>
    <w:rsid w:val="005E3FBD"/>
    <w:rsid w:val="005E45FB"/>
    <w:rsid w:val="005F0159"/>
    <w:rsid w:val="00601CBE"/>
    <w:rsid w:val="0061189D"/>
    <w:rsid w:val="00611931"/>
    <w:rsid w:val="00621412"/>
    <w:rsid w:val="00623542"/>
    <w:rsid w:val="00624FD3"/>
    <w:rsid w:val="00632A24"/>
    <w:rsid w:val="00635036"/>
    <w:rsid w:val="00645055"/>
    <w:rsid w:val="006638EB"/>
    <w:rsid w:val="006802C1"/>
    <w:rsid w:val="006A73F8"/>
    <w:rsid w:val="006B3152"/>
    <w:rsid w:val="006B4D24"/>
    <w:rsid w:val="006D02FF"/>
    <w:rsid w:val="00712C29"/>
    <w:rsid w:val="00716FE5"/>
    <w:rsid w:val="007305D7"/>
    <w:rsid w:val="00735ADE"/>
    <w:rsid w:val="00794AD4"/>
    <w:rsid w:val="00796B47"/>
    <w:rsid w:val="007A6B96"/>
    <w:rsid w:val="007C40AA"/>
    <w:rsid w:val="007D7735"/>
    <w:rsid w:val="007E39EC"/>
    <w:rsid w:val="007F1698"/>
    <w:rsid w:val="00810545"/>
    <w:rsid w:val="00835B9F"/>
    <w:rsid w:val="00843630"/>
    <w:rsid w:val="00861871"/>
    <w:rsid w:val="00866F6D"/>
    <w:rsid w:val="00873412"/>
    <w:rsid w:val="00873645"/>
    <w:rsid w:val="0088071A"/>
    <w:rsid w:val="00884D99"/>
    <w:rsid w:val="00885D25"/>
    <w:rsid w:val="008B10CB"/>
    <w:rsid w:val="008B2FDE"/>
    <w:rsid w:val="008B60FA"/>
    <w:rsid w:val="008C322C"/>
    <w:rsid w:val="008C4817"/>
    <w:rsid w:val="008F33DC"/>
    <w:rsid w:val="00903B4A"/>
    <w:rsid w:val="00905AB4"/>
    <w:rsid w:val="009067EC"/>
    <w:rsid w:val="00910F09"/>
    <w:rsid w:val="009212D3"/>
    <w:rsid w:val="009219FE"/>
    <w:rsid w:val="0092223E"/>
    <w:rsid w:val="009369EB"/>
    <w:rsid w:val="0097041B"/>
    <w:rsid w:val="00984400"/>
    <w:rsid w:val="00993186"/>
    <w:rsid w:val="009A737B"/>
    <w:rsid w:val="009A7F69"/>
    <w:rsid w:val="009B5A5B"/>
    <w:rsid w:val="009E6DCC"/>
    <w:rsid w:val="009F23DE"/>
    <w:rsid w:val="00A00762"/>
    <w:rsid w:val="00A0497F"/>
    <w:rsid w:val="00A150A7"/>
    <w:rsid w:val="00A21217"/>
    <w:rsid w:val="00A3314F"/>
    <w:rsid w:val="00A37121"/>
    <w:rsid w:val="00A372BC"/>
    <w:rsid w:val="00A423F8"/>
    <w:rsid w:val="00A42E58"/>
    <w:rsid w:val="00A51293"/>
    <w:rsid w:val="00A52BC0"/>
    <w:rsid w:val="00A60D25"/>
    <w:rsid w:val="00A86269"/>
    <w:rsid w:val="00AA5204"/>
    <w:rsid w:val="00AB5DE3"/>
    <w:rsid w:val="00AB66B5"/>
    <w:rsid w:val="00AB6B35"/>
    <w:rsid w:val="00AC658A"/>
    <w:rsid w:val="00AE759A"/>
    <w:rsid w:val="00AF0D7F"/>
    <w:rsid w:val="00AF116F"/>
    <w:rsid w:val="00AF345E"/>
    <w:rsid w:val="00B07ED7"/>
    <w:rsid w:val="00B21439"/>
    <w:rsid w:val="00B32020"/>
    <w:rsid w:val="00B67C99"/>
    <w:rsid w:val="00B71F4D"/>
    <w:rsid w:val="00B75B68"/>
    <w:rsid w:val="00BA701F"/>
    <w:rsid w:val="00BB6698"/>
    <w:rsid w:val="00BC29DD"/>
    <w:rsid w:val="00BC2C40"/>
    <w:rsid w:val="00BD0B1E"/>
    <w:rsid w:val="00BD2F7E"/>
    <w:rsid w:val="00BF1609"/>
    <w:rsid w:val="00C02666"/>
    <w:rsid w:val="00C3243E"/>
    <w:rsid w:val="00C55AE1"/>
    <w:rsid w:val="00C73975"/>
    <w:rsid w:val="00C84B65"/>
    <w:rsid w:val="00C87E89"/>
    <w:rsid w:val="00CB0A74"/>
    <w:rsid w:val="00CC1367"/>
    <w:rsid w:val="00CC1522"/>
    <w:rsid w:val="00CC17F0"/>
    <w:rsid w:val="00CC4CBD"/>
    <w:rsid w:val="00CD5116"/>
    <w:rsid w:val="00CF116D"/>
    <w:rsid w:val="00CF517D"/>
    <w:rsid w:val="00D12D70"/>
    <w:rsid w:val="00D203C8"/>
    <w:rsid w:val="00D240B3"/>
    <w:rsid w:val="00D30648"/>
    <w:rsid w:val="00D307E6"/>
    <w:rsid w:val="00D44A5C"/>
    <w:rsid w:val="00D533B6"/>
    <w:rsid w:val="00D5667A"/>
    <w:rsid w:val="00D761E0"/>
    <w:rsid w:val="00D83B7E"/>
    <w:rsid w:val="00D9535F"/>
    <w:rsid w:val="00D97882"/>
    <w:rsid w:val="00DA01FC"/>
    <w:rsid w:val="00DA2510"/>
    <w:rsid w:val="00DA4C54"/>
    <w:rsid w:val="00DA68A2"/>
    <w:rsid w:val="00DB598B"/>
    <w:rsid w:val="00DE7B73"/>
    <w:rsid w:val="00DF1D99"/>
    <w:rsid w:val="00DF5E5B"/>
    <w:rsid w:val="00E212FB"/>
    <w:rsid w:val="00E215AB"/>
    <w:rsid w:val="00E304D6"/>
    <w:rsid w:val="00E35D03"/>
    <w:rsid w:val="00E53FE2"/>
    <w:rsid w:val="00E57104"/>
    <w:rsid w:val="00E751EA"/>
    <w:rsid w:val="00E94DDF"/>
    <w:rsid w:val="00EB015C"/>
    <w:rsid w:val="00EC1192"/>
    <w:rsid w:val="00ED43EA"/>
    <w:rsid w:val="00EF39C6"/>
    <w:rsid w:val="00EF4664"/>
    <w:rsid w:val="00EF7675"/>
    <w:rsid w:val="00F13314"/>
    <w:rsid w:val="00F22675"/>
    <w:rsid w:val="00F25D42"/>
    <w:rsid w:val="00F25D93"/>
    <w:rsid w:val="00F42FCA"/>
    <w:rsid w:val="00F46AC5"/>
    <w:rsid w:val="00F53B70"/>
    <w:rsid w:val="00F57287"/>
    <w:rsid w:val="00F7188E"/>
    <w:rsid w:val="00F74FBB"/>
    <w:rsid w:val="00F85293"/>
    <w:rsid w:val="00F913D0"/>
    <w:rsid w:val="00F91CB7"/>
    <w:rsid w:val="00F973E0"/>
    <w:rsid w:val="00FB217B"/>
    <w:rsid w:val="00FD26C3"/>
    <w:rsid w:val="00FD602E"/>
    <w:rsid w:val="00FF23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6E28"/>
    <w:rPr>
      <w:color w:val="808080"/>
    </w:rPr>
  </w:style>
  <w:style w:type="paragraph" w:styleId="BalloonText">
    <w:name w:val="Balloon Text"/>
    <w:basedOn w:val="Normal"/>
    <w:link w:val="BalloonTextChar"/>
    <w:uiPriority w:val="99"/>
    <w:semiHidden/>
    <w:unhideWhenUsed/>
    <w:rsid w:val="003C6E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E28"/>
    <w:rPr>
      <w:rFonts w:ascii="Tahoma" w:hAnsi="Tahoma" w:cs="Tahoma"/>
      <w:sz w:val="16"/>
      <w:szCs w:val="16"/>
    </w:rPr>
  </w:style>
  <w:style w:type="table" w:styleId="TableGrid">
    <w:name w:val="Table Grid"/>
    <w:basedOn w:val="TableNormal"/>
    <w:uiPriority w:val="59"/>
    <w:rsid w:val="00270E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5E5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F5E5B"/>
  </w:style>
  <w:style w:type="paragraph" w:styleId="Footer">
    <w:name w:val="footer"/>
    <w:basedOn w:val="Normal"/>
    <w:link w:val="FooterChar"/>
    <w:uiPriority w:val="99"/>
    <w:unhideWhenUsed/>
    <w:rsid w:val="00DF5E5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F5E5B"/>
  </w:style>
  <w:style w:type="paragraph" w:styleId="FootnoteText">
    <w:name w:val="footnote text"/>
    <w:basedOn w:val="Normal"/>
    <w:link w:val="FootnoteTextChar"/>
    <w:uiPriority w:val="99"/>
    <w:semiHidden/>
    <w:unhideWhenUsed/>
    <w:rsid w:val="00910F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0F09"/>
    <w:rPr>
      <w:sz w:val="20"/>
      <w:szCs w:val="20"/>
    </w:rPr>
  </w:style>
  <w:style w:type="character" w:styleId="FootnoteReference">
    <w:name w:val="footnote reference"/>
    <w:basedOn w:val="DefaultParagraphFont"/>
    <w:uiPriority w:val="99"/>
    <w:semiHidden/>
    <w:unhideWhenUsed/>
    <w:rsid w:val="00910F09"/>
    <w:rPr>
      <w:vertAlign w:val="superscript"/>
    </w:rPr>
  </w:style>
  <w:style w:type="paragraph" w:styleId="Caption">
    <w:name w:val="caption"/>
    <w:basedOn w:val="Normal"/>
    <w:next w:val="Normal"/>
    <w:uiPriority w:val="35"/>
    <w:unhideWhenUsed/>
    <w:qFormat/>
    <w:rsid w:val="00510372"/>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6E28"/>
    <w:rPr>
      <w:color w:val="808080"/>
    </w:rPr>
  </w:style>
  <w:style w:type="paragraph" w:styleId="BalloonText">
    <w:name w:val="Balloon Text"/>
    <w:basedOn w:val="Normal"/>
    <w:link w:val="BalloonTextChar"/>
    <w:uiPriority w:val="99"/>
    <w:semiHidden/>
    <w:unhideWhenUsed/>
    <w:rsid w:val="003C6E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E28"/>
    <w:rPr>
      <w:rFonts w:ascii="Tahoma" w:hAnsi="Tahoma" w:cs="Tahoma"/>
      <w:sz w:val="16"/>
      <w:szCs w:val="16"/>
    </w:rPr>
  </w:style>
  <w:style w:type="table" w:styleId="TableGrid">
    <w:name w:val="Table Grid"/>
    <w:basedOn w:val="TableNormal"/>
    <w:uiPriority w:val="59"/>
    <w:rsid w:val="00270E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5E5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F5E5B"/>
  </w:style>
  <w:style w:type="paragraph" w:styleId="Footer">
    <w:name w:val="footer"/>
    <w:basedOn w:val="Normal"/>
    <w:link w:val="FooterChar"/>
    <w:uiPriority w:val="99"/>
    <w:unhideWhenUsed/>
    <w:rsid w:val="00DF5E5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F5E5B"/>
  </w:style>
  <w:style w:type="paragraph" w:styleId="FootnoteText">
    <w:name w:val="footnote text"/>
    <w:basedOn w:val="Normal"/>
    <w:link w:val="FootnoteTextChar"/>
    <w:uiPriority w:val="99"/>
    <w:semiHidden/>
    <w:unhideWhenUsed/>
    <w:rsid w:val="00910F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0F09"/>
    <w:rPr>
      <w:sz w:val="20"/>
      <w:szCs w:val="20"/>
    </w:rPr>
  </w:style>
  <w:style w:type="character" w:styleId="FootnoteReference">
    <w:name w:val="footnote reference"/>
    <w:basedOn w:val="DefaultParagraphFont"/>
    <w:uiPriority w:val="99"/>
    <w:semiHidden/>
    <w:unhideWhenUsed/>
    <w:rsid w:val="00910F09"/>
    <w:rPr>
      <w:vertAlign w:val="superscript"/>
    </w:rPr>
  </w:style>
  <w:style w:type="paragraph" w:styleId="Caption">
    <w:name w:val="caption"/>
    <w:basedOn w:val="Normal"/>
    <w:next w:val="Normal"/>
    <w:uiPriority w:val="35"/>
    <w:unhideWhenUsed/>
    <w:qFormat/>
    <w:rsid w:val="00510372"/>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564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A029B-AB8D-46D9-ACD6-4B5FF1929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3300</Words>
  <Characters>18811</Characters>
  <Application>Microsoft Office Word</Application>
  <DocSecurity>0</DocSecurity>
  <Lines>156</Lines>
  <Paragraphs>44</Paragraphs>
  <ScaleCrop>false</ScaleCrop>
  <HeadingPairs>
    <vt:vector size="2" baseType="variant">
      <vt:variant>
        <vt:lpstr>Titre</vt:lpstr>
      </vt:variant>
      <vt:variant>
        <vt:i4>1</vt:i4>
      </vt:variant>
    </vt:vector>
  </HeadingPairs>
  <TitlesOfParts>
    <vt:vector size="1" baseType="lpstr">
      <vt:lpstr/>
    </vt:vector>
  </TitlesOfParts>
  <Company>BIPM</Company>
  <LinksUpToDate>false</LinksUpToDate>
  <CharactersWithSpaces>22067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BURNS</dc:creator>
  <cp:lastModifiedBy>Jose Maria LOS ARCOS</cp:lastModifiedBy>
  <cp:revision>5</cp:revision>
  <cp:lastPrinted>2017-06-09T12:58:00Z</cp:lastPrinted>
  <dcterms:created xsi:type="dcterms:W3CDTF">2017-06-12T12:48:00Z</dcterms:created>
  <dcterms:modified xsi:type="dcterms:W3CDTF">2017-06-18T22:43:00Z</dcterms:modified>
</cp:coreProperties>
</file>