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D017D" w14:textId="77777777" w:rsidR="00D22B55" w:rsidRDefault="00D22B55" w:rsidP="00436C99">
      <w:pPr>
        <w:pStyle w:val="Titel"/>
        <w:ind w:left="0"/>
      </w:pPr>
    </w:p>
    <w:p w14:paraId="4B46F429" w14:textId="77777777" w:rsidR="00B41312" w:rsidRDefault="00B41312" w:rsidP="00B41312">
      <w:pPr>
        <w:pStyle w:val="Titel"/>
      </w:pPr>
    </w:p>
    <w:p w14:paraId="7C11A13B" w14:textId="77777777" w:rsidR="00B41312" w:rsidRDefault="00B41312" w:rsidP="00B41312">
      <w:pPr>
        <w:pStyle w:val="Titel"/>
      </w:pPr>
      <w:r>
        <w:t>Summary Report on the activities of</w:t>
      </w:r>
    </w:p>
    <w:p w14:paraId="4B635A8E" w14:textId="77777777" w:rsidR="00B41312" w:rsidRPr="006E29DE" w:rsidRDefault="00B41312" w:rsidP="00B41312">
      <w:pPr>
        <w:jc w:val="center"/>
        <w:rPr>
          <w:b/>
          <w:bCs/>
        </w:rPr>
      </w:pPr>
      <w:r w:rsidRPr="006E29DE">
        <w:rPr>
          <w:b/>
          <w:bCs/>
        </w:rPr>
        <w:t>CCQM WG on Electrochemical Analysis and Classical Chemical Methods</w:t>
      </w:r>
      <w:r>
        <w:rPr>
          <w:b/>
          <w:bCs/>
        </w:rPr>
        <w:t xml:space="preserve"> (EAWG)</w:t>
      </w:r>
    </w:p>
    <w:p w14:paraId="3D95D8D2" w14:textId="3C751C9E" w:rsidR="00B41312" w:rsidRDefault="00B41312" w:rsidP="00B41312">
      <w:pPr>
        <w:jc w:val="center"/>
      </w:pPr>
      <w:r>
        <w:t>in the period 0</w:t>
      </w:r>
      <w:r w:rsidR="00AF07F2">
        <w:t>4</w:t>
      </w:r>
      <w:r>
        <w:t>/202</w:t>
      </w:r>
      <w:r w:rsidR="00AF07F2">
        <w:t>5</w:t>
      </w:r>
      <w:r>
        <w:t xml:space="preserve"> to 03/202</w:t>
      </w:r>
      <w:r w:rsidR="00AF07F2">
        <w:t>6</w:t>
      </w:r>
    </w:p>
    <w:p w14:paraId="78A93A90" w14:textId="77777777" w:rsidR="00B41312" w:rsidRDefault="00B41312" w:rsidP="00B41312">
      <w:pPr>
        <w:spacing w:after="0"/>
      </w:pPr>
    </w:p>
    <w:p w14:paraId="0CAC1871" w14:textId="77777777" w:rsidR="00B41312" w:rsidRDefault="00B41312" w:rsidP="00B41312">
      <w:pPr>
        <w:spacing w:after="0"/>
      </w:pPr>
    </w:p>
    <w:p w14:paraId="5C82F235" w14:textId="0F6D3AAF" w:rsidR="00B41312" w:rsidRDefault="00B41312" w:rsidP="00B41312">
      <w:pPr>
        <w:pStyle w:val="berschrift1"/>
      </w:pPr>
      <w:r>
        <w:t>Administrative matters</w:t>
      </w:r>
    </w:p>
    <w:p w14:paraId="2525AFAB" w14:textId="77777777" w:rsidR="00B41312" w:rsidRDefault="00B41312" w:rsidP="00B41312">
      <w:pPr>
        <w:spacing w:after="0"/>
      </w:pPr>
    </w:p>
    <w:p w14:paraId="30AFCE96" w14:textId="03CB310F" w:rsidR="00B41312" w:rsidRDefault="00B41312" w:rsidP="00B41312">
      <w:pPr>
        <w:spacing w:after="0"/>
      </w:pPr>
      <w:r>
        <w:t>Chair Steffen Seitz</w:t>
      </w:r>
    </w:p>
    <w:p w14:paraId="46686239" w14:textId="77777777" w:rsidR="00B41312" w:rsidRDefault="00B41312" w:rsidP="00B41312">
      <w:pPr>
        <w:spacing w:after="0"/>
      </w:pPr>
    </w:p>
    <w:p w14:paraId="69135840" w14:textId="128FF018" w:rsidR="00B41312" w:rsidRDefault="00B41312" w:rsidP="00B41312">
      <w:pPr>
        <w:spacing w:after="0"/>
      </w:pPr>
      <w:r>
        <w:t>The former co-chair</w:t>
      </w:r>
      <w:r w:rsidR="002807AB">
        <w:t>,</w:t>
      </w:r>
      <w:r>
        <w:t xml:space="preserve"> Toshiaki Asakai</w:t>
      </w:r>
      <w:r w:rsidR="002807AB">
        <w:t>,</w:t>
      </w:r>
      <w:r>
        <w:t xml:space="preserve"> has stepped down as Co-chair. Alena Sobina from VNIIM-UNIIM </w:t>
      </w:r>
      <w:r w:rsidR="00377949" w:rsidRPr="00377949">
        <w:t>has been proposed by the Chair as a successor. Her nomination is subject to confirmation.</w:t>
      </w:r>
    </w:p>
    <w:p w14:paraId="262D8E2E" w14:textId="77777777" w:rsidR="00B41312" w:rsidRDefault="00B41312" w:rsidP="00B41312">
      <w:pPr>
        <w:spacing w:after="0"/>
      </w:pPr>
    </w:p>
    <w:p w14:paraId="3CB44903" w14:textId="77777777" w:rsidR="00B41312" w:rsidRDefault="00B41312" w:rsidP="00B41312">
      <w:pPr>
        <w:pStyle w:val="berschrift1"/>
      </w:pPr>
      <w:r>
        <w:t>EAWG terms of reference</w:t>
      </w:r>
    </w:p>
    <w:p w14:paraId="6B61CACF" w14:textId="77777777" w:rsidR="00B41312" w:rsidRPr="001E040D" w:rsidRDefault="00B41312" w:rsidP="00B41312">
      <w:pPr>
        <w:widowControl/>
        <w:tabs>
          <w:tab w:val="clear" w:pos="7088"/>
        </w:tabs>
        <w:spacing w:before="100" w:beforeAutospacing="1" w:after="100" w:afterAutospacing="1"/>
        <w:ind w:left="360"/>
      </w:pPr>
      <w:r w:rsidRPr="001E040D">
        <w:t>To carry out Key Comparisons, and where necessary pilot studies, to critically evaluate and benchmark NMI/DI claimed competences for measurement standards and capabilities for pH, electrolytic conductivity</w:t>
      </w:r>
      <w:r>
        <w:t>,</w:t>
      </w:r>
      <w:r w:rsidRPr="001E040D">
        <w:t xml:space="preserve"> coulometry</w:t>
      </w:r>
      <w:r>
        <w:t xml:space="preserve"> and classical chemical methods.</w:t>
      </w:r>
    </w:p>
    <w:p w14:paraId="380FCB34" w14:textId="36FA8496" w:rsidR="00B41312" w:rsidRPr="001E040D" w:rsidRDefault="00B41312" w:rsidP="00B41312">
      <w:pPr>
        <w:widowControl/>
        <w:tabs>
          <w:tab w:val="clear" w:pos="7088"/>
        </w:tabs>
        <w:spacing w:before="100" w:beforeAutospacing="1" w:after="100" w:afterAutospacing="1"/>
        <w:ind w:left="360"/>
      </w:pPr>
      <w:r w:rsidRPr="001E040D">
        <w:t>To assist in identifying and establishing inter</w:t>
      </w:r>
      <w:r w:rsidRPr="001E040D">
        <w:rPr>
          <w:rFonts w:ascii="Cambria Math" w:hAnsi="Cambria Math" w:cs="Cambria Math"/>
        </w:rPr>
        <w:t>‐</w:t>
      </w:r>
      <w:r w:rsidRPr="001E040D">
        <w:t>laboratory work to improve the SI traceability of electrochemical measurement results.</w:t>
      </w:r>
    </w:p>
    <w:p w14:paraId="50F361DB" w14:textId="77777777" w:rsidR="00B41312" w:rsidRPr="009F6213" w:rsidRDefault="00B41312" w:rsidP="00B41312">
      <w:pPr>
        <w:pStyle w:val="berschrift1"/>
      </w:pPr>
      <w:r w:rsidRPr="009F6213">
        <w:t>Meetings</w:t>
      </w:r>
    </w:p>
    <w:p w14:paraId="23FDF1D7" w14:textId="77777777" w:rsidR="00B41312" w:rsidRPr="009F6213" w:rsidRDefault="00B41312" w:rsidP="00B41312">
      <w:pPr>
        <w:pStyle w:val="berschrift2"/>
      </w:pPr>
      <w:r w:rsidRPr="009F6213">
        <w:t>Meetings</w:t>
      </w:r>
    </w:p>
    <w:p w14:paraId="6033926E" w14:textId="14B2B78B" w:rsidR="00B41312" w:rsidRPr="009F6213" w:rsidRDefault="00B41312" w:rsidP="00B41312">
      <w:pPr>
        <w:spacing w:before="240"/>
      </w:pPr>
      <w:r w:rsidRPr="009F6213">
        <w:t xml:space="preserve">EAWG has held a </w:t>
      </w:r>
      <w:r>
        <w:t>hybrid</w:t>
      </w:r>
      <w:r w:rsidRPr="009F6213">
        <w:t xml:space="preserve"> meeting</w:t>
      </w:r>
      <w:r>
        <w:t xml:space="preserve"> at the BIPM </w:t>
      </w:r>
      <w:r w:rsidR="00377949">
        <w:t>8</w:t>
      </w:r>
      <w:r w:rsidRPr="009F6213">
        <w:t xml:space="preserve"> April 202</w:t>
      </w:r>
      <w:r w:rsidR="00377949">
        <w:t>5</w:t>
      </w:r>
      <w:r w:rsidRPr="009F6213">
        <w:t xml:space="preserve"> and a </w:t>
      </w:r>
      <w:r>
        <w:t>two-</w:t>
      </w:r>
      <w:r w:rsidRPr="009F6213">
        <w:t xml:space="preserve">day online meeting </w:t>
      </w:r>
      <w:r w:rsidR="00377949">
        <w:t xml:space="preserve">7 &amp; </w:t>
      </w:r>
      <w:proofErr w:type="gramStart"/>
      <w:r w:rsidR="00377949">
        <w:t xml:space="preserve">8 </w:t>
      </w:r>
      <w:r w:rsidRPr="009F6213">
        <w:t xml:space="preserve"> October</w:t>
      </w:r>
      <w:proofErr w:type="gramEnd"/>
      <w:r w:rsidRPr="009F6213">
        <w:t xml:space="preserve"> 202</w:t>
      </w:r>
      <w:r w:rsidR="00377949">
        <w:t>5</w:t>
      </w:r>
      <w:r w:rsidRPr="009F6213">
        <w:t>. 4</w:t>
      </w:r>
      <w:r w:rsidR="00377949">
        <w:t>7</w:t>
      </w:r>
      <w:r w:rsidRPr="009F6213">
        <w:t xml:space="preserve"> people from 2</w:t>
      </w:r>
      <w:r w:rsidR="00377949">
        <w:t>8</w:t>
      </w:r>
      <w:r w:rsidRPr="009F6213">
        <w:t xml:space="preserve"> countries registered to the April meeting and </w:t>
      </w:r>
      <w:r>
        <w:t>4</w:t>
      </w:r>
      <w:r w:rsidR="00377949">
        <w:t>5</w:t>
      </w:r>
      <w:r w:rsidRPr="009F6213">
        <w:t xml:space="preserve"> people from 2</w:t>
      </w:r>
      <w:r w:rsidR="00377949">
        <w:t>5</w:t>
      </w:r>
      <w:r w:rsidRPr="009F6213">
        <w:t xml:space="preserve"> countries </w:t>
      </w:r>
      <w:r w:rsidR="00377949">
        <w:t>r</w:t>
      </w:r>
      <w:r w:rsidRPr="009F6213">
        <w:t>egistered to the October meeting. Table 1 shows the number of participating countries with respect to RMOs.</w:t>
      </w:r>
    </w:p>
    <w:tbl>
      <w:tblPr>
        <w:tblW w:w="3828" w:type="dxa"/>
        <w:tblInd w:w="2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980"/>
        <w:gridCol w:w="1488"/>
      </w:tblGrid>
      <w:tr w:rsidR="00B41312" w:rsidRPr="00FE72C2" w14:paraId="23BFF1A6" w14:textId="77777777" w:rsidTr="002B56BE">
        <w:trPr>
          <w:trHeight w:val="315"/>
        </w:trPr>
        <w:tc>
          <w:tcPr>
            <w:tcW w:w="1360" w:type="dxa"/>
            <w:noWrap/>
            <w:vAlign w:val="center"/>
            <w:hideMark/>
          </w:tcPr>
          <w:p w14:paraId="3585712F" w14:textId="77777777" w:rsidR="00B41312" w:rsidRPr="00FE72C2" w:rsidRDefault="00B41312" w:rsidP="002B56BE">
            <w:pPr>
              <w:widowControl/>
              <w:tabs>
                <w:tab w:val="clear" w:pos="7088"/>
              </w:tabs>
              <w:spacing w:after="0"/>
              <w:ind w:left="0"/>
              <w:jc w:val="center"/>
              <w:rPr>
                <w:rFonts w:ascii="Times New Roman" w:hAnsi="Times New Roman"/>
                <w:snapToGrid/>
                <w:sz w:val="20"/>
                <w:szCs w:val="24"/>
                <w:lang w:val="en-US" w:eastAsia="en-US"/>
              </w:rPr>
            </w:pPr>
          </w:p>
        </w:tc>
        <w:tc>
          <w:tcPr>
            <w:tcW w:w="980" w:type="dxa"/>
            <w:noWrap/>
            <w:vAlign w:val="center"/>
            <w:hideMark/>
          </w:tcPr>
          <w:p w14:paraId="5B53EF24" w14:textId="2EB3AFA4" w:rsidR="00B41312" w:rsidRPr="00FE72C2" w:rsidRDefault="00B41312" w:rsidP="002B56BE">
            <w:pPr>
              <w:widowControl/>
              <w:tabs>
                <w:tab w:val="clear" w:pos="7088"/>
              </w:tabs>
              <w:spacing w:after="0"/>
              <w:ind w:left="0"/>
              <w:jc w:val="center"/>
              <w:rPr>
                <w:rFonts w:cs="Arial"/>
                <w:snapToGrid/>
                <w:sz w:val="20"/>
                <w:lang w:val="en-US" w:eastAsia="en-US"/>
              </w:rPr>
            </w:pPr>
            <w:r w:rsidRPr="00FE72C2">
              <w:rPr>
                <w:rFonts w:cs="Arial"/>
                <w:snapToGrid/>
                <w:sz w:val="20"/>
                <w:lang w:val="en-US" w:eastAsia="en-US"/>
              </w:rPr>
              <w:t>Apr 2</w:t>
            </w:r>
            <w:r w:rsidR="00377949">
              <w:rPr>
                <w:rFonts w:cs="Arial"/>
                <w:snapToGrid/>
                <w:sz w:val="20"/>
                <w:lang w:val="en-US" w:eastAsia="en-US"/>
              </w:rPr>
              <w:t>5</w:t>
            </w:r>
          </w:p>
        </w:tc>
        <w:tc>
          <w:tcPr>
            <w:tcW w:w="1488" w:type="dxa"/>
            <w:noWrap/>
            <w:vAlign w:val="center"/>
            <w:hideMark/>
          </w:tcPr>
          <w:p w14:paraId="3E0A1477" w14:textId="6A5E9836" w:rsidR="00B41312" w:rsidRPr="00FE72C2" w:rsidRDefault="00B41312" w:rsidP="002B56BE">
            <w:pPr>
              <w:widowControl/>
              <w:tabs>
                <w:tab w:val="clear" w:pos="7088"/>
              </w:tabs>
              <w:spacing w:after="0"/>
              <w:ind w:left="0"/>
              <w:jc w:val="center"/>
              <w:rPr>
                <w:rFonts w:cs="Arial"/>
                <w:snapToGrid/>
                <w:sz w:val="20"/>
                <w:lang w:val="en-US" w:eastAsia="en-US"/>
              </w:rPr>
            </w:pPr>
            <w:r w:rsidRPr="00FE72C2">
              <w:rPr>
                <w:rFonts w:cs="Arial"/>
                <w:snapToGrid/>
                <w:sz w:val="20"/>
                <w:lang w:val="en-US" w:eastAsia="en-US"/>
              </w:rPr>
              <w:t>Oct 2</w:t>
            </w:r>
            <w:r w:rsidR="00377949">
              <w:rPr>
                <w:rFonts w:cs="Arial"/>
                <w:snapToGrid/>
                <w:sz w:val="20"/>
                <w:lang w:val="en-US" w:eastAsia="en-US"/>
              </w:rPr>
              <w:t>5</w:t>
            </w:r>
          </w:p>
        </w:tc>
      </w:tr>
      <w:tr w:rsidR="00377949" w:rsidRPr="00FE72C2" w14:paraId="28260262" w14:textId="77777777" w:rsidTr="00377949">
        <w:trPr>
          <w:trHeight w:val="315"/>
        </w:trPr>
        <w:tc>
          <w:tcPr>
            <w:tcW w:w="1360" w:type="dxa"/>
            <w:noWrap/>
            <w:vAlign w:val="center"/>
            <w:hideMark/>
          </w:tcPr>
          <w:p w14:paraId="15A62DAC" w14:textId="77777777" w:rsidR="00377949" w:rsidRPr="00FE72C2" w:rsidRDefault="00377949" w:rsidP="00377949">
            <w:pPr>
              <w:widowControl/>
              <w:tabs>
                <w:tab w:val="clear" w:pos="7088"/>
              </w:tabs>
              <w:spacing w:after="0"/>
              <w:ind w:left="0"/>
              <w:jc w:val="center"/>
              <w:rPr>
                <w:rFonts w:cs="Arial"/>
                <w:snapToGrid/>
                <w:sz w:val="20"/>
                <w:lang w:val="en-US" w:eastAsia="en-US"/>
              </w:rPr>
            </w:pPr>
            <w:r w:rsidRPr="00FE72C2">
              <w:rPr>
                <w:rFonts w:cs="Arial"/>
                <w:snapToGrid/>
                <w:sz w:val="20"/>
                <w:lang w:val="en-US" w:eastAsia="en-US"/>
              </w:rPr>
              <w:t>EURAMET</w:t>
            </w:r>
          </w:p>
        </w:tc>
        <w:tc>
          <w:tcPr>
            <w:tcW w:w="980" w:type="dxa"/>
            <w:noWrap/>
            <w:vAlign w:val="center"/>
            <w:hideMark/>
          </w:tcPr>
          <w:p w14:paraId="2332D416" w14:textId="65989D8B" w:rsidR="00377949" w:rsidRPr="00FE72C2" w:rsidRDefault="00377949" w:rsidP="00377949">
            <w:pPr>
              <w:widowControl/>
              <w:tabs>
                <w:tab w:val="clear" w:pos="7088"/>
              </w:tabs>
              <w:spacing w:after="0"/>
              <w:ind w:left="0"/>
              <w:jc w:val="center"/>
              <w:rPr>
                <w:rFonts w:cs="Arial"/>
                <w:snapToGrid/>
                <w:sz w:val="20"/>
                <w:lang w:val="en-US" w:eastAsia="en-US"/>
              </w:rPr>
            </w:pPr>
            <w:r w:rsidRPr="00377949">
              <w:rPr>
                <w:rFonts w:cs="Arial"/>
                <w:snapToGrid/>
                <w:sz w:val="20"/>
                <w:lang w:val="en-US" w:eastAsia="en-US"/>
              </w:rPr>
              <w:t>12</w:t>
            </w:r>
          </w:p>
        </w:tc>
        <w:tc>
          <w:tcPr>
            <w:tcW w:w="1488" w:type="dxa"/>
            <w:noWrap/>
            <w:vAlign w:val="center"/>
            <w:hideMark/>
          </w:tcPr>
          <w:p w14:paraId="6FFF1719" w14:textId="0BCED9EF" w:rsidR="00377949" w:rsidRPr="00FE72C2" w:rsidRDefault="00377949" w:rsidP="00377949">
            <w:pPr>
              <w:widowControl/>
              <w:tabs>
                <w:tab w:val="clear" w:pos="7088"/>
              </w:tabs>
              <w:spacing w:after="0"/>
              <w:ind w:left="0"/>
              <w:jc w:val="center"/>
              <w:rPr>
                <w:rFonts w:cs="Arial"/>
                <w:snapToGrid/>
                <w:sz w:val="20"/>
                <w:lang w:val="en-US" w:eastAsia="en-US"/>
              </w:rPr>
            </w:pPr>
            <w:r w:rsidRPr="00377949">
              <w:rPr>
                <w:rFonts w:cs="Arial"/>
                <w:snapToGrid/>
                <w:sz w:val="20"/>
                <w:lang w:val="en-US" w:eastAsia="en-US"/>
              </w:rPr>
              <w:t>10</w:t>
            </w:r>
          </w:p>
        </w:tc>
      </w:tr>
      <w:tr w:rsidR="00377949" w:rsidRPr="00FE72C2" w14:paraId="3F36C496" w14:textId="77777777" w:rsidTr="00377949">
        <w:trPr>
          <w:trHeight w:val="315"/>
        </w:trPr>
        <w:tc>
          <w:tcPr>
            <w:tcW w:w="1360" w:type="dxa"/>
            <w:noWrap/>
            <w:vAlign w:val="center"/>
            <w:hideMark/>
          </w:tcPr>
          <w:p w14:paraId="55363D72" w14:textId="77777777" w:rsidR="00377949" w:rsidRPr="00FE72C2" w:rsidRDefault="00377949" w:rsidP="00377949">
            <w:pPr>
              <w:widowControl/>
              <w:tabs>
                <w:tab w:val="clear" w:pos="7088"/>
              </w:tabs>
              <w:spacing w:after="0"/>
              <w:ind w:left="0"/>
              <w:jc w:val="center"/>
              <w:rPr>
                <w:rFonts w:cs="Arial"/>
                <w:snapToGrid/>
                <w:sz w:val="20"/>
                <w:lang w:val="en-US" w:eastAsia="en-US"/>
              </w:rPr>
            </w:pPr>
            <w:r w:rsidRPr="00FE72C2">
              <w:rPr>
                <w:rFonts w:cs="Arial"/>
                <w:snapToGrid/>
                <w:sz w:val="20"/>
                <w:lang w:val="en-US" w:eastAsia="en-US"/>
              </w:rPr>
              <w:t>APMP</w:t>
            </w:r>
          </w:p>
        </w:tc>
        <w:tc>
          <w:tcPr>
            <w:tcW w:w="980" w:type="dxa"/>
            <w:noWrap/>
            <w:vAlign w:val="center"/>
            <w:hideMark/>
          </w:tcPr>
          <w:p w14:paraId="1CE02212" w14:textId="105B42C1" w:rsidR="00377949" w:rsidRPr="00FE72C2" w:rsidRDefault="00377949" w:rsidP="00377949">
            <w:pPr>
              <w:widowControl/>
              <w:tabs>
                <w:tab w:val="clear" w:pos="7088"/>
              </w:tabs>
              <w:spacing w:after="0"/>
              <w:ind w:left="0"/>
              <w:jc w:val="center"/>
              <w:rPr>
                <w:rFonts w:cs="Arial"/>
                <w:snapToGrid/>
                <w:sz w:val="20"/>
                <w:lang w:val="en-US" w:eastAsia="en-US"/>
              </w:rPr>
            </w:pPr>
            <w:r w:rsidRPr="00377949">
              <w:rPr>
                <w:rFonts w:cs="Arial"/>
                <w:snapToGrid/>
                <w:sz w:val="20"/>
                <w:lang w:val="en-US" w:eastAsia="en-US"/>
              </w:rPr>
              <w:t>5</w:t>
            </w:r>
          </w:p>
        </w:tc>
        <w:tc>
          <w:tcPr>
            <w:tcW w:w="1488" w:type="dxa"/>
            <w:noWrap/>
            <w:vAlign w:val="center"/>
            <w:hideMark/>
          </w:tcPr>
          <w:p w14:paraId="5D87D658" w14:textId="1C6545B8" w:rsidR="00377949" w:rsidRPr="00FE72C2" w:rsidRDefault="00377949" w:rsidP="00377949">
            <w:pPr>
              <w:widowControl/>
              <w:tabs>
                <w:tab w:val="clear" w:pos="7088"/>
              </w:tabs>
              <w:spacing w:after="0"/>
              <w:ind w:left="0"/>
              <w:jc w:val="center"/>
              <w:rPr>
                <w:rFonts w:cs="Arial"/>
                <w:snapToGrid/>
                <w:sz w:val="20"/>
                <w:lang w:val="en-US" w:eastAsia="en-US"/>
              </w:rPr>
            </w:pPr>
            <w:r w:rsidRPr="00377949">
              <w:rPr>
                <w:rFonts w:cs="Arial"/>
                <w:snapToGrid/>
                <w:sz w:val="20"/>
                <w:lang w:val="en-US" w:eastAsia="en-US"/>
              </w:rPr>
              <w:t>6</w:t>
            </w:r>
          </w:p>
        </w:tc>
      </w:tr>
      <w:tr w:rsidR="00377949" w:rsidRPr="00FE72C2" w14:paraId="72CD8AD4" w14:textId="77777777" w:rsidTr="00377949">
        <w:trPr>
          <w:trHeight w:val="315"/>
        </w:trPr>
        <w:tc>
          <w:tcPr>
            <w:tcW w:w="1360" w:type="dxa"/>
            <w:noWrap/>
            <w:vAlign w:val="center"/>
            <w:hideMark/>
          </w:tcPr>
          <w:p w14:paraId="3320876F" w14:textId="77777777" w:rsidR="00377949" w:rsidRPr="00FE72C2" w:rsidRDefault="00377949" w:rsidP="00377949">
            <w:pPr>
              <w:widowControl/>
              <w:tabs>
                <w:tab w:val="clear" w:pos="7088"/>
              </w:tabs>
              <w:spacing w:after="0"/>
              <w:ind w:left="0"/>
              <w:jc w:val="center"/>
              <w:rPr>
                <w:rFonts w:cs="Arial"/>
                <w:snapToGrid/>
                <w:sz w:val="20"/>
                <w:lang w:val="en-US" w:eastAsia="en-US"/>
              </w:rPr>
            </w:pPr>
            <w:r w:rsidRPr="00FE72C2">
              <w:rPr>
                <w:rFonts w:cs="Arial"/>
                <w:snapToGrid/>
                <w:sz w:val="20"/>
                <w:lang w:val="en-US" w:eastAsia="en-US"/>
              </w:rPr>
              <w:t>SIM</w:t>
            </w:r>
          </w:p>
        </w:tc>
        <w:tc>
          <w:tcPr>
            <w:tcW w:w="980" w:type="dxa"/>
            <w:noWrap/>
            <w:vAlign w:val="center"/>
            <w:hideMark/>
          </w:tcPr>
          <w:p w14:paraId="01F8781B" w14:textId="005B9664" w:rsidR="00377949" w:rsidRPr="00FE72C2" w:rsidRDefault="00377949" w:rsidP="00377949">
            <w:pPr>
              <w:widowControl/>
              <w:tabs>
                <w:tab w:val="clear" w:pos="7088"/>
              </w:tabs>
              <w:spacing w:after="0"/>
              <w:ind w:left="0"/>
              <w:jc w:val="center"/>
              <w:rPr>
                <w:rFonts w:cs="Arial"/>
                <w:snapToGrid/>
                <w:sz w:val="20"/>
                <w:lang w:val="en-US" w:eastAsia="en-US"/>
              </w:rPr>
            </w:pPr>
            <w:r w:rsidRPr="00377949">
              <w:rPr>
                <w:rFonts w:cs="Arial"/>
                <w:snapToGrid/>
                <w:sz w:val="20"/>
                <w:lang w:val="en-US" w:eastAsia="en-US"/>
              </w:rPr>
              <w:t>7</w:t>
            </w:r>
          </w:p>
        </w:tc>
        <w:tc>
          <w:tcPr>
            <w:tcW w:w="1488" w:type="dxa"/>
            <w:noWrap/>
            <w:vAlign w:val="center"/>
            <w:hideMark/>
          </w:tcPr>
          <w:p w14:paraId="342461ED" w14:textId="61E0723B" w:rsidR="00377949" w:rsidRPr="00FE72C2" w:rsidRDefault="00377949" w:rsidP="00377949">
            <w:pPr>
              <w:widowControl/>
              <w:tabs>
                <w:tab w:val="clear" w:pos="7088"/>
              </w:tabs>
              <w:spacing w:after="0"/>
              <w:ind w:left="0"/>
              <w:jc w:val="center"/>
              <w:rPr>
                <w:rFonts w:cs="Arial"/>
                <w:snapToGrid/>
                <w:sz w:val="20"/>
                <w:lang w:val="en-US" w:eastAsia="en-US"/>
              </w:rPr>
            </w:pPr>
            <w:r w:rsidRPr="00377949">
              <w:rPr>
                <w:rFonts w:cs="Arial"/>
                <w:snapToGrid/>
                <w:sz w:val="20"/>
                <w:lang w:val="en-US" w:eastAsia="en-US"/>
              </w:rPr>
              <w:t>5</w:t>
            </w:r>
          </w:p>
        </w:tc>
      </w:tr>
      <w:tr w:rsidR="00377949" w:rsidRPr="00FE72C2" w14:paraId="29827E7C" w14:textId="77777777" w:rsidTr="00377949">
        <w:trPr>
          <w:trHeight w:val="315"/>
        </w:trPr>
        <w:tc>
          <w:tcPr>
            <w:tcW w:w="1360" w:type="dxa"/>
            <w:noWrap/>
            <w:vAlign w:val="center"/>
            <w:hideMark/>
          </w:tcPr>
          <w:p w14:paraId="5253CDAB" w14:textId="77777777" w:rsidR="00377949" w:rsidRPr="00FE72C2" w:rsidRDefault="00377949" w:rsidP="00377949">
            <w:pPr>
              <w:widowControl/>
              <w:tabs>
                <w:tab w:val="clear" w:pos="7088"/>
              </w:tabs>
              <w:spacing w:after="0"/>
              <w:ind w:left="0"/>
              <w:jc w:val="center"/>
              <w:rPr>
                <w:rFonts w:cs="Arial"/>
                <w:snapToGrid/>
                <w:sz w:val="20"/>
                <w:lang w:val="en-US" w:eastAsia="en-US"/>
              </w:rPr>
            </w:pPr>
            <w:r w:rsidRPr="00FE72C2">
              <w:rPr>
                <w:rFonts w:cs="Arial"/>
                <w:snapToGrid/>
                <w:sz w:val="20"/>
                <w:lang w:val="en-US" w:eastAsia="en-US"/>
              </w:rPr>
              <w:t>GULF</w:t>
            </w:r>
          </w:p>
        </w:tc>
        <w:tc>
          <w:tcPr>
            <w:tcW w:w="980" w:type="dxa"/>
            <w:noWrap/>
            <w:vAlign w:val="center"/>
            <w:hideMark/>
          </w:tcPr>
          <w:p w14:paraId="7405ED43" w14:textId="45CA5C4A" w:rsidR="00377949" w:rsidRPr="00FE72C2" w:rsidRDefault="00377949" w:rsidP="00377949">
            <w:pPr>
              <w:widowControl/>
              <w:tabs>
                <w:tab w:val="clear" w:pos="7088"/>
              </w:tabs>
              <w:spacing w:after="0"/>
              <w:ind w:left="0"/>
              <w:jc w:val="center"/>
              <w:rPr>
                <w:rFonts w:cs="Arial"/>
                <w:snapToGrid/>
                <w:sz w:val="20"/>
                <w:lang w:val="en-US" w:eastAsia="en-US"/>
              </w:rPr>
            </w:pPr>
            <w:r w:rsidRPr="00377949">
              <w:rPr>
                <w:rFonts w:cs="Arial"/>
                <w:snapToGrid/>
                <w:sz w:val="20"/>
                <w:lang w:val="en-US" w:eastAsia="en-US"/>
              </w:rPr>
              <w:t>1</w:t>
            </w:r>
          </w:p>
        </w:tc>
        <w:tc>
          <w:tcPr>
            <w:tcW w:w="1488" w:type="dxa"/>
            <w:noWrap/>
            <w:vAlign w:val="center"/>
            <w:hideMark/>
          </w:tcPr>
          <w:p w14:paraId="226C22DF" w14:textId="5911D6CE" w:rsidR="00377949" w:rsidRPr="00FE72C2" w:rsidRDefault="00377949" w:rsidP="00377949">
            <w:pPr>
              <w:widowControl/>
              <w:tabs>
                <w:tab w:val="clear" w:pos="7088"/>
              </w:tabs>
              <w:spacing w:after="0"/>
              <w:ind w:left="0"/>
              <w:jc w:val="center"/>
              <w:rPr>
                <w:rFonts w:cs="Arial"/>
                <w:snapToGrid/>
                <w:sz w:val="20"/>
                <w:lang w:val="en-US" w:eastAsia="en-US"/>
              </w:rPr>
            </w:pPr>
            <w:r w:rsidRPr="00377949">
              <w:rPr>
                <w:rFonts w:cs="Arial"/>
                <w:snapToGrid/>
                <w:sz w:val="20"/>
                <w:lang w:val="en-US" w:eastAsia="en-US"/>
              </w:rPr>
              <w:t>1</w:t>
            </w:r>
          </w:p>
        </w:tc>
      </w:tr>
      <w:tr w:rsidR="00377949" w:rsidRPr="00FE72C2" w14:paraId="1AB64545" w14:textId="77777777" w:rsidTr="00377949">
        <w:trPr>
          <w:trHeight w:val="315"/>
        </w:trPr>
        <w:tc>
          <w:tcPr>
            <w:tcW w:w="1360" w:type="dxa"/>
            <w:noWrap/>
            <w:vAlign w:val="center"/>
            <w:hideMark/>
          </w:tcPr>
          <w:p w14:paraId="0E3B1ABD" w14:textId="77777777" w:rsidR="00377949" w:rsidRPr="00FE72C2" w:rsidRDefault="00377949" w:rsidP="00377949">
            <w:pPr>
              <w:widowControl/>
              <w:tabs>
                <w:tab w:val="clear" w:pos="7088"/>
              </w:tabs>
              <w:spacing w:after="0"/>
              <w:ind w:left="0"/>
              <w:jc w:val="center"/>
              <w:rPr>
                <w:rFonts w:cs="Arial"/>
                <w:snapToGrid/>
                <w:sz w:val="20"/>
                <w:lang w:val="en-US" w:eastAsia="en-US"/>
              </w:rPr>
            </w:pPr>
            <w:r w:rsidRPr="00FE72C2">
              <w:rPr>
                <w:rFonts w:cs="Arial"/>
                <w:snapToGrid/>
                <w:sz w:val="20"/>
                <w:lang w:val="en-US" w:eastAsia="en-US"/>
              </w:rPr>
              <w:t>AFRI</w:t>
            </w:r>
            <w:r>
              <w:rPr>
                <w:rFonts w:cs="Arial"/>
                <w:snapToGrid/>
                <w:sz w:val="20"/>
                <w:lang w:val="en-US" w:eastAsia="en-US"/>
              </w:rPr>
              <w:t>MET</w:t>
            </w:r>
          </w:p>
        </w:tc>
        <w:tc>
          <w:tcPr>
            <w:tcW w:w="980" w:type="dxa"/>
            <w:noWrap/>
            <w:vAlign w:val="center"/>
            <w:hideMark/>
          </w:tcPr>
          <w:p w14:paraId="0C7D8746" w14:textId="3D5D053E" w:rsidR="00377949" w:rsidRPr="00FE72C2" w:rsidRDefault="00377949" w:rsidP="00377949">
            <w:pPr>
              <w:widowControl/>
              <w:tabs>
                <w:tab w:val="clear" w:pos="7088"/>
              </w:tabs>
              <w:spacing w:after="0"/>
              <w:ind w:left="0"/>
              <w:jc w:val="center"/>
              <w:rPr>
                <w:rFonts w:cs="Arial"/>
                <w:snapToGrid/>
                <w:sz w:val="20"/>
                <w:lang w:val="en-US" w:eastAsia="en-US"/>
              </w:rPr>
            </w:pPr>
            <w:r w:rsidRPr="00377949">
              <w:rPr>
                <w:rFonts w:cs="Arial"/>
                <w:snapToGrid/>
                <w:sz w:val="20"/>
                <w:lang w:val="en-US" w:eastAsia="en-US"/>
              </w:rPr>
              <w:t>1</w:t>
            </w:r>
          </w:p>
        </w:tc>
        <w:tc>
          <w:tcPr>
            <w:tcW w:w="1488" w:type="dxa"/>
            <w:noWrap/>
            <w:vAlign w:val="center"/>
            <w:hideMark/>
          </w:tcPr>
          <w:p w14:paraId="46BB4E43" w14:textId="4F38197A" w:rsidR="00377949" w:rsidRPr="00FE72C2" w:rsidRDefault="00377949" w:rsidP="00377949">
            <w:pPr>
              <w:widowControl/>
              <w:tabs>
                <w:tab w:val="clear" w:pos="7088"/>
              </w:tabs>
              <w:spacing w:after="0"/>
              <w:ind w:left="0"/>
              <w:jc w:val="center"/>
              <w:rPr>
                <w:rFonts w:cs="Arial"/>
                <w:snapToGrid/>
                <w:sz w:val="20"/>
                <w:lang w:val="en-US" w:eastAsia="en-US"/>
              </w:rPr>
            </w:pPr>
            <w:r w:rsidRPr="00377949">
              <w:rPr>
                <w:rFonts w:cs="Arial"/>
                <w:snapToGrid/>
                <w:sz w:val="20"/>
                <w:lang w:val="en-US" w:eastAsia="en-US"/>
              </w:rPr>
              <w:t>1</w:t>
            </w:r>
          </w:p>
        </w:tc>
      </w:tr>
      <w:tr w:rsidR="00377949" w:rsidRPr="00FE72C2" w14:paraId="423ED2DD" w14:textId="77777777" w:rsidTr="00377949">
        <w:trPr>
          <w:trHeight w:val="315"/>
        </w:trPr>
        <w:tc>
          <w:tcPr>
            <w:tcW w:w="1360" w:type="dxa"/>
            <w:noWrap/>
            <w:vAlign w:val="center"/>
            <w:hideMark/>
          </w:tcPr>
          <w:p w14:paraId="5D8C353E" w14:textId="77777777" w:rsidR="00377949" w:rsidRPr="00FE72C2" w:rsidRDefault="00377949" w:rsidP="00377949">
            <w:pPr>
              <w:widowControl/>
              <w:tabs>
                <w:tab w:val="clear" w:pos="7088"/>
              </w:tabs>
              <w:spacing w:after="0"/>
              <w:ind w:left="0"/>
              <w:jc w:val="center"/>
              <w:rPr>
                <w:rFonts w:cs="Arial"/>
                <w:snapToGrid/>
                <w:sz w:val="20"/>
                <w:lang w:val="en-US" w:eastAsia="en-US"/>
              </w:rPr>
            </w:pPr>
            <w:r w:rsidRPr="00FE72C2">
              <w:rPr>
                <w:rFonts w:cs="Arial"/>
                <w:snapToGrid/>
                <w:sz w:val="20"/>
                <w:lang w:val="en-US" w:eastAsia="en-US"/>
              </w:rPr>
              <w:t>COOMET</w:t>
            </w:r>
          </w:p>
        </w:tc>
        <w:tc>
          <w:tcPr>
            <w:tcW w:w="980" w:type="dxa"/>
            <w:noWrap/>
            <w:vAlign w:val="center"/>
            <w:hideMark/>
          </w:tcPr>
          <w:p w14:paraId="66E368CF" w14:textId="598FEA53" w:rsidR="00377949" w:rsidRPr="00FE72C2" w:rsidRDefault="00377949" w:rsidP="00377949">
            <w:pPr>
              <w:widowControl/>
              <w:tabs>
                <w:tab w:val="clear" w:pos="7088"/>
              </w:tabs>
              <w:spacing w:after="0"/>
              <w:ind w:left="0"/>
              <w:jc w:val="center"/>
              <w:rPr>
                <w:rFonts w:cs="Arial"/>
                <w:snapToGrid/>
                <w:sz w:val="20"/>
                <w:lang w:val="en-US" w:eastAsia="en-US"/>
              </w:rPr>
            </w:pPr>
            <w:r w:rsidRPr="00377949">
              <w:rPr>
                <w:rFonts w:cs="Arial"/>
                <w:snapToGrid/>
                <w:sz w:val="20"/>
                <w:lang w:val="en-US" w:eastAsia="en-US"/>
              </w:rPr>
              <w:t>2</w:t>
            </w:r>
          </w:p>
        </w:tc>
        <w:tc>
          <w:tcPr>
            <w:tcW w:w="1488" w:type="dxa"/>
            <w:noWrap/>
            <w:vAlign w:val="center"/>
            <w:hideMark/>
          </w:tcPr>
          <w:p w14:paraId="3D38AC82" w14:textId="5BD0E2C1" w:rsidR="00377949" w:rsidRPr="00FE72C2" w:rsidRDefault="00377949" w:rsidP="00377949">
            <w:pPr>
              <w:widowControl/>
              <w:tabs>
                <w:tab w:val="clear" w:pos="7088"/>
              </w:tabs>
              <w:spacing w:after="0"/>
              <w:ind w:left="0"/>
              <w:jc w:val="center"/>
              <w:rPr>
                <w:rFonts w:cs="Arial"/>
                <w:snapToGrid/>
                <w:sz w:val="20"/>
                <w:lang w:val="en-US" w:eastAsia="en-US"/>
              </w:rPr>
            </w:pPr>
            <w:r w:rsidRPr="00377949">
              <w:rPr>
                <w:rFonts w:cs="Arial"/>
                <w:snapToGrid/>
                <w:sz w:val="20"/>
                <w:lang w:val="en-US" w:eastAsia="en-US"/>
              </w:rPr>
              <w:t>2</w:t>
            </w:r>
          </w:p>
        </w:tc>
      </w:tr>
    </w:tbl>
    <w:p w14:paraId="7F2C47BE" w14:textId="77777777" w:rsidR="00B41312" w:rsidRPr="009F6213" w:rsidRDefault="00B41312" w:rsidP="00B41312">
      <w:pPr>
        <w:spacing w:before="240"/>
        <w:ind w:left="2268" w:hanging="141"/>
      </w:pPr>
      <w:r w:rsidRPr="009F6213">
        <w:rPr>
          <w:b/>
          <w:bCs/>
        </w:rPr>
        <w:t xml:space="preserve">Table 1 </w:t>
      </w:r>
      <w:r w:rsidRPr="009F6213">
        <w:t>Number of participating countries by region</w:t>
      </w:r>
    </w:p>
    <w:p w14:paraId="60C92D99" w14:textId="77777777" w:rsidR="00B41312" w:rsidRDefault="00B41312" w:rsidP="00B41312">
      <w:pPr>
        <w:widowControl/>
        <w:tabs>
          <w:tab w:val="clear" w:pos="7088"/>
        </w:tabs>
        <w:spacing w:after="0"/>
        <w:ind w:left="0"/>
      </w:pPr>
      <w:r>
        <w:br w:type="page"/>
      </w:r>
    </w:p>
    <w:p w14:paraId="20E71DE0" w14:textId="6B5BAEBF" w:rsidR="00B41312" w:rsidRPr="009F6213" w:rsidRDefault="00383C05" w:rsidP="00B41312">
      <w:pPr>
        <w:pStyle w:val="berschrift1"/>
        <w:ind w:left="0" w:firstLine="0"/>
      </w:pPr>
      <w:r>
        <w:lastRenderedPageBreak/>
        <w:t>CCQM-</w:t>
      </w:r>
      <w:r w:rsidR="00B41312" w:rsidRPr="009F6213">
        <w:t>Comparison summary</w:t>
      </w:r>
    </w:p>
    <w:p w14:paraId="5D71E54D" w14:textId="77777777" w:rsidR="00B41312" w:rsidRPr="009F6213" w:rsidRDefault="00B41312" w:rsidP="00B41312"/>
    <w:p w14:paraId="623352DC" w14:textId="77777777" w:rsidR="00383C05" w:rsidRPr="002807AB" w:rsidRDefault="00B41312" w:rsidP="00383C05">
      <w:pPr>
        <w:tabs>
          <w:tab w:val="clear" w:pos="7088"/>
          <w:tab w:val="left" w:pos="3261"/>
        </w:tabs>
        <w:spacing w:after="0"/>
        <w:ind w:left="0"/>
      </w:pPr>
      <w:r w:rsidRPr="009F6213">
        <w:t>Completed</w:t>
      </w:r>
      <w:r>
        <w:t xml:space="preserve"> in reporting period</w:t>
      </w:r>
      <w:r w:rsidRPr="009F6213">
        <w:tab/>
      </w:r>
      <w:r w:rsidR="00383C05" w:rsidRPr="002807AB">
        <w:t>K96.2023.1 (assay of potassium dichromate)</w:t>
      </w:r>
    </w:p>
    <w:p w14:paraId="31575C2D" w14:textId="7F77F7AC" w:rsidR="00383C05" w:rsidRPr="002807AB" w:rsidRDefault="00383C05" w:rsidP="00383C05">
      <w:pPr>
        <w:tabs>
          <w:tab w:val="clear" w:pos="7088"/>
          <w:tab w:val="left" w:pos="3261"/>
        </w:tabs>
        <w:spacing w:after="0"/>
        <w:ind w:left="0"/>
      </w:pPr>
      <w:r w:rsidRPr="002807AB">
        <w:tab/>
      </w:r>
      <w:r w:rsidRPr="002807AB">
        <w:t>EURAMET.QM-K170 (conductivity at 0.5 and 20 S/m)</w:t>
      </w:r>
    </w:p>
    <w:p w14:paraId="260832E6" w14:textId="77777777" w:rsidR="00383C05" w:rsidRPr="002807AB" w:rsidRDefault="00383C05" w:rsidP="00383C05">
      <w:pPr>
        <w:tabs>
          <w:tab w:val="clear" w:pos="7088"/>
          <w:tab w:val="left" w:pos="3261"/>
        </w:tabs>
        <w:spacing w:after="0"/>
        <w:ind w:left="0"/>
      </w:pPr>
      <w:r w:rsidRPr="002807AB">
        <w:tab/>
        <w:t>EURAMET.QM-K19.2018 (pH of borate buffer)</w:t>
      </w:r>
    </w:p>
    <w:p w14:paraId="3738BE88" w14:textId="77777777" w:rsidR="00383C05" w:rsidRPr="002807AB" w:rsidRDefault="00383C05" w:rsidP="00383C05">
      <w:pPr>
        <w:tabs>
          <w:tab w:val="clear" w:pos="7088"/>
          <w:tab w:val="left" w:pos="3261"/>
        </w:tabs>
        <w:spacing w:after="0"/>
        <w:ind w:left="0"/>
      </w:pPr>
      <w:r w:rsidRPr="002807AB">
        <w:tab/>
        <w:t>K173.2 (assay of sodium carbonate)</w:t>
      </w:r>
    </w:p>
    <w:p w14:paraId="1769E7FC" w14:textId="2C3EA6F9" w:rsidR="00521352" w:rsidRPr="002807AB" w:rsidRDefault="00521352" w:rsidP="00383C05">
      <w:pPr>
        <w:tabs>
          <w:tab w:val="clear" w:pos="7088"/>
          <w:tab w:val="left" w:pos="3261"/>
        </w:tabs>
        <w:spacing w:after="0"/>
        <w:ind w:left="0"/>
      </w:pPr>
      <w:r w:rsidRPr="002807AB">
        <w:tab/>
        <w:t>K73.2018.4 (assay of HCl)</w:t>
      </w:r>
    </w:p>
    <w:p w14:paraId="18A4417A" w14:textId="7B956262" w:rsidR="00B41312" w:rsidRPr="002807AB" w:rsidRDefault="00521352" w:rsidP="00383C05">
      <w:pPr>
        <w:tabs>
          <w:tab w:val="clear" w:pos="7088"/>
          <w:tab w:val="left" w:pos="3261"/>
        </w:tabs>
        <w:spacing w:after="0"/>
        <w:ind w:left="0"/>
      </w:pPr>
      <w:r w:rsidRPr="002807AB">
        <w:tab/>
        <w:t>K99.1 (pH of phosphate buffer)</w:t>
      </w:r>
      <w:r w:rsidR="00B41312" w:rsidRPr="002807AB">
        <w:tab/>
      </w:r>
    </w:p>
    <w:p w14:paraId="70709306" w14:textId="77777777" w:rsidR="00B41312" w:rsidRPr="002807AB" w:rsidRDefault="00B41312" w:rsidP="00B41312">
      <w:pPr>
        <w:tabs>
          <w:tab w:val="clear" w:pos="7088"/>
          <w:tab w:val="left" w:pos="3261"/>
        </w:tabs>
        <w:ind w:left="0"/>
      </w:pPr>
    </w:p>
    <w:p w14:paraId="29C545BE" w14:textId="77777777" w:rsidR="00B41312" w:rsidRPr="002807AB" w:rsidRDefault="00B41312" w:rsidP="00B41312">
      <w:pPr>
        <w:tabs>
          <w:tab w:val="clear" w:pos="7088"/>
          <w:tab w:val="left" w:pos="3261"/>
        </w:tabs>
        <w:spacing w:after="0"/>
        <w:ind w:left="0"/>
      </w:pPr>
      <w:r w:rsidRPr="002807AB">
        <w:t>In progress</w:t>
      </w:r>
      <w:r w:rsidRPr="002807AB">
        <w:tab/>
        <w:t>P221 (pH of seawater)</w:t>
      </w:r>
    </w:p>
    <w:p w14:paraId="1011478B" w14:textId="77777777" w:rsidR="00B41312" w:rsidRPr="002807AB" w:rsidRDefault="00B41312" w:rsidP="00B41312">
      <w:pPr>
        <w:tabs>
          <w:tab w:val="clear" w:pos="7088"/>
          <w:tab w:val="left" w:pos="3261"/>
        </w:tabs>
        <w:spacing w:after="0"/>
        <w:ind w:left="0"/>
      </w:pPr>
      <w:r w:rsidRPr="002807AB">
        <w:tab/>
        <w:t>K169 (assay of sodium oxalate)</w:t>
      </w:r>
    </w:p>
    <w:p w14:paraId="01F257D9" w14:textId="77777777" w:rsidR="00B41312" w:rsidRPr="002807AB" w:rsidRDefault="00B41312" w:rsidP="00B41312">
      <w:pPr>
        <w:tabs>
          <w:tab w:val="clear" w:pos="7088"/>
          <w:tab w:val="left" w:pos="3261"/>
        </w:tabs>
        <w:spacing w:after="0"/>
        <w:ind w:left="0"/>
      </w:pPr>
      <w:r w:rsidRPr="002807AB">
        <w:tab/>
        <w:t>P228 Impedance Spectroscopy</w:t>
      </w:r>
    </w:p>
    <w:p w14:paraId="1C756244" w14:textId="4AF9EE82" w:rsidR="00B41312" w:rsidRPr="002807AB" w:rsidRDefault="00B41312" w:rsidP="00B41312">
      <w:pPr>
        <w:tabs>
          <w:tab w:val="clear" w:pos="7088"/>
          <w:tab w:val="left" w:pos="3261"/>
        </w:tabs>
        <w:spacing w:after="0"/>
        <w:ind w:left="0"/>
      </w:pPr>
      <w:r w:rsidRPr="002807AB">
        <w:tab/>
        <w:t>EURAMET.QM-K91.2022 (pH of phthalate buffer)</w:t>
      </w:r>
    </w:p>
    <w:p w14:paraId="5E479AE0" w14:textId="77777777" w:rsidR="00B41312" w:rsidRPr="002807AB" w:rsidRDefault="00B41312" w:rsidP="00B41312">
      <w:pPr>
        <w:tabs>
          <w:tab w:val="clear" w:pos="7088"/>
          <w:tab w:val="left" w:pos="3261"/>
        </w:tabs>
        <w:spacing w:after="0"/>
        <w:ind w:left="0"/>
      </w:pPr>
      <w:r w:rsidRPr="002807AB">
        <w:tab/>
        <w:t xml:space="preserve">K20.2025 pH of </w:t>
      </w:r>
      <w:proofErr w:type="spellStart"/>
      <w:r w:rsidRPr="002807AB">
        <w:t>Tetroxalate</w:t>
      </w:r>
      <w:proofErr w:type="spellEnd"/>
      <w:r w:rsidRPr="002807AB">
        <w:t xml:space="preserve"> buffer</w:t>
      </w:r>
    </w:p>
    <w:p w14:paraId="29C9011E" w14:textId="0DF08FB6" w:rsidR="00B41312" w:rsidRPr="002807AB" w:rsidRDefault="00B41312" w:rsidP="00B41312">
      <w:pPr>
        <w:tabs>
          <w:tab w:val="clear" w:pos="7088"/>
          <w:tab w:val="left" w:pos="3261"/>
        </w:tabs>
        <w:spacing w:after="0"/>
        <w:ind w:left="0"/>
      </w:pPr>
      <w:r w:rsidRPr="002807AB">
        <w:tab/>
        <w:t>K</w:t>
      </w:r>
      <w:r w:rsidR="00383C05" w:rsidRPr="002807AB">
        <w:t>205</w:t>
      </w:r>
      <w:r w:rsidRPr="002807AB">
        <w:t xml:space="preserve"> assay of EDTA</w:t>
      </w:r>
    </w:p>
    <w:p w14:paraId="1407B2B2" w14:textId="63E2A46F" w:rsidR="00521352" w:rsidRPr="002807AB" w:rsidRDefault="00521352" w:rsidP="00B41312">
      <w:pPr>
        <w:tabs>
          <w:tab w:val="clear" w:pos="7088"/>
          <w:tab w:val="left" w:pos="3261"/>
        </w:tabs>
        <w:spacing w:after="0"/>
        <w:ind w:left="0"/>
      </w:pPr>
      <w:r w:rsidRPr="002807AB">
        <w:tab/>
        <w:t xml:space="preserve">P262 (pH of </w:t>
      </w:r>
      <w:proofErr w:type="gramStart"/>
      <w:r w:rsidRPr="002807AB">
        <w:t>Ca(</w:t>
      </w:r>
      <w:proofErr w:type="gramEnd"/>
      <w:r w:rsidRPr="002807AB">
        <w:t>OH)</w:t>
      </w:r>
      <w:r w:rsidRPr="002807AB">
        <w:rPr>
          <w:vertAlign w:val="subscript"/>
        </w:rPr>
        <w:t>2</w:t>
      </w:r>
      <w:r w:rsidRPr="002807AB">
        <w:t>) buffer)</w:t>
      </w:r>
    </w:p>
    <w:p w14:paraId="71492C27" w14:textId="3BB4D594" w:rsidR="00521352" w:rsidRPr="009F6213" w:rsidRDefault="00521352" w:rsidP="00B41312">
      <w:pPr>
        <w:tabs>
          <w:tab w:val="clear" w:pos="7088"/>
          <w:tab w:val="left" w:pos="3261"/>
        </w:tabs>
        <w:spacing w:after="0"/>
        <w:ind w:left="0"/>
      </w:pPr>
      <w:r w:rsidRPr="002807AB">
        <w:tab/>
        <w:t xml:space="preserve">K194/P251 (water in </w:t>
      </w:r>
      <w:proofErr w:type="spellStart"/>
      <w:r w:rsidRPr="002807AB">
        <w:t>crystallhydrates</w:t>
      </w:r>
      <w:proofErr w:type="spellEnd"/>
      <w:r w:rsidRPr="002807AB">
        <w:t>)</w:t>
      </w:r>
    </w:p>
    <w:p w14:paraId="1F3CA029" w14:textId="77777777" w:rsidR="00B41312" w:rsidRDefault="00B41312" w:rsidP="00B41312">
      <w:pPr>
        <w:tabs>
          <w:tab w:val="clear" w:pos="7088"/>
          <w:tab w:val="left" w:pos="3261"/>
        </w:tabs>
        <w:ind w:left="0"/>
      </w:pPr>
    </w:p>
    <w:p w14:paraId="73D90A93" w14:textId="77777777" w:rsidR="00B41312" w:rsidRPr="009F6213" w:rsidRDefault="00B41312" w:rsidP="00B41312">
      <w:pPr>
        <w:tabs>
          <w:tab w:val="clear" w:pos="7088"/>
          <w:tab w:val="left" w:pos="3261"/>
        </w:tabs>
        <w:ind w:left="0"/>
      </w:pPr>
      <w:r>
        <w:t>Aborted</w:t>
      </w:r>
      <w:r w:rsidRPr="009F6213">
        <w:tab/>
      </w:r>
      <w:r>
        <w:t>none</w:t>
      </w:r>
    </w:p>
    <w:p w14:paraId="6877A6C1" w14:textId="77777777" w:rsidR="00B41312" w:rsidRDefault="00B41312" w:rsidP="00B41312">
      <w:pPr>
        <w:tabs>
          <w:tab w:val="clear" w:pos="7088"/>
          <w:tab w:val="left" w:pos="3261"/>
        </w:tabs>
        <w:spacing w:after="0"/>
        <w:ind w:left="0"/>
      </w:pPr>
    </w:p>
    <w:p w14:paraId="67344E99" w14:textId="033FEA41" w:rsidR="00B41312" w:rsidRDefault="00B41312" w:rsidP="00B41312">
      <w:pPr>
        <w:tabs>
          <w:tab w:val="clear" w:pos="7088"/>
          <w:tab w:val="left" w:pos="3261"/>
        </w:tabs>
        <w:spacing w:after="0"/>
        <w:ind w:left="0"/>
        <w:rPr>
          <w:vertAlign w:val="superscript"/>
        </w:rPr>
      </w:pPr>
      <w:r w:rsidRPr="009F6213">
        <w:t xml:space="preserve">Request for </w:t>
      </w:r>
      <w:r>
        <w:t xml:space="preserve">CCQM </w:t>
      </w:r>
      <w:r w:rsidRPr="009F6213">
        <w:t>approval</w:t>
      </w:r>
      <w:r>
        <w:tab/>
      </w:r>
      <w:r w:rsidR="00521352">
        <w:t xml:space="preserve">Follow-up </w:t>
      </w:r>
      <w:r>
        <w:t xml:space="preserve">KC </w:t>
      </w:r>
      <w:r w:rsidR="00521352">
        <w:t>on K48.2014 (assay of KCl or NaCl)</w:t>
      </w:r>
    </w:p>
    <w:p w14:paraId="3E7265BB" w14:textId="460A8333" w:rsidR="00383C05" w:rsidRPr="00383C05" w:rsidRDefault="00383C05" w:rsidP="00B41312">
      <w:pPr>
        <w:tabs>
          <w:tab w:val="clear" w:pos="7088"/>
          <w:tab w:val="left" w:pos="3261"/>
        </w:tabs>
        <w:spacing w:after="0"/>
        <w:ind w:left="0"/>
      </w:pPr>
      <w:r>
        <w:tab/>
      </w:r>
    </w:p>
    <w:p w14:paraId="5CB825D0" w14:textId="363FC03F" w:rsidR="00B41312" w:rsidRPr="009F6213" w:rsidRDefault="00B41312" w:rsidP="00B41312">
      <w:pPr>
        <w:tabs>
          <w:tab w:val="clear" w:pos="7088"/>
          <w:tab w:val="left" w:pos="3261"/>
        </w:tabs>
        <w:spacing w:before="240"/>
        <w:ind w:left="0"/>
      </w:pPr>
      <w:r w:rsidRPr="009F6213">
        <w:t xml:space="preserve">Up to now, </w:t>
      </w:r>
      <w:r w:rsidR="00383C05">
        <w:t>73</w:t>
      </w:r>
      <w:r w:rsidRPr="009F6213">
        <w:t xml:space="preserve"> comparisons </w:t>
      </w:r>
      <w:r>
        <w:t>have been conducted by EAWG. 1</w:t>
      </w:r>
      <w:r w:rsidR="00377949">
        <w:t>5</w:t>
      </w:r>
      <w:r>
        <w:t xml:space="preserve"> subsequent or supplementary comparisons have been conducted by RMOs. Figure 1</w:t>
      </w:r>
      <w:r w:rsidRPr="009F6213">
        <w:t xml:space="preserve"> summarizes the comparisons by technical areas.</w:t>
      </w:r>
    </w:p>
    <w:p w14:paraId="1F8F7B6D" w14:textId="0F806DE9" w:rsidR="00B41312" w:rsidRPr="009F6213" w:rsidRDefault="00377949" w:rsidP="00B41312">
      <w:pPr>
        <w:tabs>
          <w:tab w:val="clear" w:pos="7088"/>
          <w:tab w:val="left" w:pos="3261"/>
        </w:tabs>
        <w:spacing w:before="240"/>
        <w:jc w:val="center"/>
      </w:pPr>
      <w:r>
        <w:rPr>
          <w:noProof/>
          <w:snapToGrid/>
        </w:rPr>
        <w:drawing>
          <wp:inline distT="0" distB="0" distL="0" distR="0" wp14:anchorId="4D054761" wp14:editId="4D371548">
            <wp:extent cx="3667125" cy="3190295"/>
            <wp:effectExtent l="0" t="0" r="9525" b="10160"/>
            <wp:docPr id="1024079938" name="Diagramm 1">
              <a:extLst xmlns:a="http://schemas.openxmlformats.org/drawingml/2006/main">
                <a:ext uri="{FF2B5EF4-FFF2-40B4-BE49-F238E27FC236}">
                  <a16:creationId xmlns:a16="http://schemas.microsoft.com/office/drawing/2014/main" id="{5B3073BA-330D-4F8A-843E-859049C996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7EB66C" w14:textId="77777777" w:rsidR="00B41312" w:rsidRPr="009F6213" w:rsidRDefault="00B41312" w:rsidP="00B41312">
      <w:pPr>
        <w:tabs>
          <w:tab w:val="clear" w:pos="7088"/>
          <w:tab w:val="left" w:pos="3261"/>
        </w:tabs>
        <w:spacing w:before="240"/>
        <w:ind w:left="1985" w:right="1560"/>
      </w:pPr>
      <w:r>
        <w:rPr>
          <w:b/>
          <w:bCs/>
        </w:rPr>
        <w:t>Figure</w:t>
      </w:r>
      <w:r w:rsidRPr="009F6213">
        <w:rPr>
          <w:b/>
          <w:bCs/>
        </w:rPr>
        <w:t xml:space="preserve"> </w:t>
      </w:r>
      <w:r>
        <w:rPr>
          <w:b/>
          <w:bCs/>
        </w:rPr>
        <w:t>1</w:t>
      </w:r>
      <w:r w:rsidRPr="009F6213">
        <w:t xml:space="preserve"> Comparisons by technical areas. </w:t>
      </w:r>
      <w:r>
        <w:t>KC&amp;SC: K</w:t>
      </w:r>
      <w:r w:rsidRPr="009F6213">
        <w:t xml:space="preserve">ey </w:t>
      </w:r>
      <w:r>
        <w:t>C</w:t>
      </w:r>
      <w:r w:rsidRPr="009F6213">
        <w:t>omparisons</w:t>
      </w:r>
      <w:r>
        <w:t xml:space="preserve"> (including subsequent and linked regional comparisons), S</w:t>
      </w:r>
      <w:r w:rsidRPr="009F6213">
        <w:t xml:space="preserve">upplementary </w:t>
      </w:r>
      <w:r>
        <w:t>C</w:t>
      </w:r>
      <w:r w:rsidRPr="009F6213">
        <w:t>omparisons</w:t>
      </w:r>
      <w:r>
        <w:t>; PS: P</w:t>
      </w:r>
      <w:r w:rsidRPr="009F6213">
        <w:t xml:space="preserve">ilot </w:t>
      </w:r>
      <w:r>
        <w:t>S</w:t>
      </w:r>
      <w:r w:rsidRPr="009F6213">
        <w:t>tudies.</w:t>
      </w:r>
    </w:p>
    <w:p w14:paraId="3E29456B" w14:textId="77777777" w:rsidR="00B41312" w:rsidRDefault="00B41312" w:rsidP="00B41312">
      <w:pPr>
        <w:widowControl/>
        <w:tabs>
          <w:tab w:val="clear" w:pos="7088"/>
        </w:tabs>
        <w:spacing w:after="0"/>
        <w:ind w:left="0"/>
      </w:pPr>
    </w:p>
    <w:p w14:paraId="3D925DD0" w14:textId="50590132" w:rsidR="005A6030" w:rsidRPr="000E3199" w:rsidRDefault="00B41312" w:rsidP="00B41312">
      <w:pPr>
        <w:pStyle w:val="berschrift1"/>
      </w:pPr>
      <w:r>
        <w:br w:type="page"/>
      </w:r>
      <w:r w:rsidR="000C734C" w:rsidRPr="000E3199">
        <w:lastRenderedPageBreak/>
        <w:t>C</w:t>
      </w:r>
      <w:r w:rsidR="008B578F" w:rsidRPr="000E3199">
        <w:t>omparisons</w:t>
      </w:r>
      <w:r w:rsidR="000C734C" w:rsidRPr="000E3199">
        <w:t xml:space="preserve"> in progress</w:t>
      </w:r>
    </w:p>
    <w:p w14:paraId="5D1124FC" w14:textId="3716D039" w:rsidR="00EF0DEC" w:rsidRDefault="00EF0DEC" w:rsidP="00EF0DEC">
      <w:pPr>
        <w:pStyle w:val="berschrift2"/>
      </w:pPr>
      <w:r>
        <w:t>CCQM-</w:t>
      </w:r>
      <w:r w:rsidR="00395B41">
        <w:t>P221</w:t>
      </w:r>
      <w:r>
        <w:t xml:space="preserve"> – pH of Tris/(artificial) seawater</w:t>
      </w:r>
    </w:p>
    <w:p w14:paraId="09E9D77D" w14:textId="45137149" w:rsidR="00137A6A" w:rsidRPr="00577208" w:rsidRDefault="00137A6A" w:rsidP="00137A6A">
      <w:pPr>
        <w:rPr>
          <w:lang w:val="en-US"/>
        </w:rPr>
      </w:pPr>
      <w:r w:rsidRPr="00137A6A">
        <w:rPr>
          <w:lang w:val="en-US"/>
        </w:rPr>
        <w:t xml:space="preserve">The </w:t>
      </w:r>
      <w:r w:rsidR="00577208">
        <w:rPr>
          <w:lang w:val="en-US"/>
        </w:rPr>
        <w:t xml:space="preserve">pilot study </w:t>
      </w:r>
      <w:r w:rsidRPr="00137A6A">
        <w:rPr>
          <w:lang w:val="en-US"/>
        </w:rPr>
        <w:t xml:space="preserve">is coordinated </w:t>
      </w:r>
      <w:r w:rsidRPr="00577208">
        <w:rPr>
          <w:lang w:val="en-US"/>
        </w:rPr>
        <w:t>by NIST, with LNE acting as co-pilot laboratory. Two measurands ha</w:t>
      </w:r>
      <w:r w:rsidR="00577208" w:rsidRPr="00577208">
        <w:rPr>
          <w:lang w:val="en-US"/>
        </w:rPr>
        <w:t xml:space="preserve">ve </w:t>
      </w:r>
      <w:r w:rsidRPr="00577208">
        <w:rPr>
          <w:lang w:val="en-US"/>
        </w:rPr>
        <w:t xml:space="preserve">been </w:t>
      </w:r>
      <w:r w:rsidR="00577208" w:rsidRPr="00577208">
        <w:rPr>
          <w:lang w:val="en-US"/>
        </w:rPr>
        <w:t>measured</w:t>
      </w:r>
      <w:r w:rsidRPr="00577208">
        <w:rPr>
          <w:lang w:val="en-US"/>
        </w:rPr>
        <w:t>:</w:t>
      </w:r>
    </w:p>
    <w:p w14:paraId="6AFC8F47" w14:textId="77777777" w:rsidR="00137A6A" w:rsidRPr="00577208" w:rsidRDefault="00137A6A" w:rsidP="00137A6A">
      <w:pPr>
        <w:numPr>
          <w:ilvl w:val="0"/>
          <w:numId w:val="15"/>
        </w:numPr>
        <w:rPr>
          <w:lang w:val="en-US"/>
        </w:rPr>
      </w:pPr>
      <w:r w:rsidRPr="00577208">
        <w:rPr>
          <w:lang w:val="en-US"/>
        </w:rPr>
        <w:t>Measurand A: p(</w:t>
      </w:r>
      <w:proofErr w:type="spellStart"/>
      <w:r w:rsidRPr="00577208">
        <w:rPr>
          <w:lang w:val="en-US"/>
        </w:rPr>
        <w:t>aHaCl</w:t>
      </w:r>
      <w:proofErr w:type="spellEnd"/>
      <w:r w:rsidRPr="00577208">
        <w:rPr>
          <w:lang w:val="en-US"/>
        </w:rPr>
        <w:t>) of a TRIS/</w:t>
      </w:r>
      <w:proofErr w:type="spellStart"/>
      <w:r w:rsidRPr="00577208">
        <w:rPr>
          <w:lang w:val="en-US"/>
        </w:rPr>
        <w:t>TRIS·HCl</w:t>
      </w:r>
      <w:proofErr w:type="spellEnd"/>
      <w:r w:rsidRPr="00577208">
        <w:rPr>
          <w:lang w:val="en-US"/>
        </w:rPr>
        <w:t xml:space="preserve"> buffer in artificial seawater (ASW)</w:t>
      </w:r>
    </w:p>
    <w:p w14:paraId="761191D2" w14:textId="70C9B9E7" w:rsidR="00137A6A" w:rsidRPr="00577208" w:rsidRDefault="00137A6A" w:rsidP="00137A6A">
      <w:pPr>
        <w:numPr>
          <w:ilvl w:val="0"/>
          <w:numId w:val="15"/>
        </w:numPr>
        <w:rPr>
          <w:lang w:val="en-US"/>
        </w:rPr>
      </w:pPr>
      <w:r w:rsidRPr="00577208">
        <w:rPr>
          <w:lang w:val="en-US"/>
        </w:rPr>
        <w:t xml:space="preserve">Measurand B: </w:t>
      </w:r>
      <w:r w:rsidR="008149F5" w:rsidRPr="008149F5">
        <w:rPr>
          <w:lang w:val="en-US"/>
        </w:rPr>
        <w:t xml:space="preserve">representing </w:t>
      </w:r>
      <w:proofErr w:type="spellStart"/>
      <w:r w:rsidR="008149F5" w:rsidRPr="008149F5">
        <w:rPr>
          <w:lang w:val="en-US"/>
        </w:rPr>
        <w:t>pH</w:t>
      </w:r>
      <w:r w:rsidR="008149F5" w:rsidRPr="00DF0AC2">
        <w:rPr>
          <w:vertAlign w:val="subscript"/>
          <w:lang w:val="en-US"/>
        </w:rPr>
        <w:t>T</w:t>
      </w:r>
      <w:proofErr w:type="spellEnd"/>
      <w:r w:rsidR="008149F5">
        <w:rPr>
          <w:lang w:val="en-US"/>
        </w:rPr>
        <w:t xml:space="preserve"> of an ASW</w:t>
      </w:r>
      <w:r w:rsidR="00DF0AC2">
        <w:rPr>
          <w:lang w:val="en-US"/>
        </w:rPr>
        <w:t>/TRIS buffer</w:t>
      </w:r>
      <w:r w:rsidR="008149F5" w:rsidRPr="008149F5">
        <w:rPr>
          <w:lang w:val="en-US"/>
        </w:rPr>
        <w:t>, but on the molality scale and without consideration of the molality of chloride ions</w:t>
      </w:r>
      <w:r w:rsidRPr="00577208">
        <w:rPr>
          <w:lang w:val="en-US"/>
        </w:rPr>
        <w:t>.</w:t>
      </w:r>
    </w:p>
    <w:p w14:paraId="2130F318" w14:textId="3A50FFF4" w:rsidR="00137A6A" w:rsidRPr="00577208" w:rsidRDefault="00137A6A" w:rsidP="00137A6A">
      <w:r w:rsidRPr="00577208">
        <w:rPr>
          <w:lang w:val="en-US"/>
        </w:rPr>
        <w:t xml:space="preserve">As </w:t>
      </w:r>
      <w:proofErr w:type="gramStart"/>
      <w:r w:rsidRPr="00577208">
        <w:rPr>
          <w:lang w:val="en-US"/>
        </w:rPr>
        <w:t>of</w:t>
      </w:r>
      <w:proofErr w:type="gramEnd"/>
      <w:r w:rsidRPr="00577208">
        <w:rPr>
          <w:lang w:val="en-US"/>
        </w:rPr>
        <w:t xml:space="preserve"> the meeting, Draft A was still pending. NIST has informed the CCQM Secretariat that the preparation of the report is delayed due to current workload. The Chair noted that no new information was available and that he will continue to follow up with NIST regarding the delivery of Draft A.</w:t>
      </w:r>
    </w:p>
    <w:p w14:paraId="6080FC43" w14:textId="77777777" w:rsidR="00705A25" w:rsidRPr="00BB1442" w:rsidRDefault="00705A25" w:rsidP="00705A25">
      <w:pPr>
        <w:pStyle w:val="berschrift2"/>
      </w:pPr>
      <w:r w:rsidRPr="00BB1442">
        <w:t>CCQM-K169 – Assay of sodium oxalate</w:t>
      </w:r>
    </w:p>
    <w:p w14:paraId="392C0C3D" w14:textId="506996E4" w:rsidR="00476078" w:rsidRDefault="00705A25" w:rsidP="00892E67">
      <w:r>
        <w:t xml:space="preserve">K169 is a joint comparison with IAWG. </w:t>
      </w:r>
      <w:r w:rsidRPr="00B77CAC">
        <w:t>Participants that successfully t</w:t>
      </w:r>
      <w:r>
        <w:t xml:space="preserve">ake </w:t>
      </w:r>
      <w:r w:rsidRPr="00B77CAC">
        <w:t xml:space="preserve">part in the </w:t>
      </w:r>
      <w:r>
        <w:t>KC</w:t>
      </w:r>
      <w:r w:rsidRPr="00B77CAC">
        <w:t xml:space="preserve"> </w:t>
      </w:r>
      <w:r>
        <w:t xml:space="preserve">will </w:t>
      </w:r>
      <w:r w:rsidRPr="00B77CAC">
        <w:t xml:space="preserve">demonstrate their capability to measure the amount </w:t>
      </w:r>
      <w:r>
        <w:t xml:space="preserve">content </w:t>
      </w:r>
      <w:r w:rsidRPr="00B77CAC">
        <w:t>of reductants in high-purity sodium oxalate</w:t>
      </w:r>
      <w:r>
        <w:t xml:space="preserve">. VNIIM-UNIIM </w:t>
      </w:r>
      <w:r w:rsidR="003A2EBE">
        <w:t xml:space="preserve">is </w:t>
      </w:r>
      <w:r>
        <w:t>coordinat</w:t>
      </w:r>
      <w:r w:rsidR="003A2EBE">
        <w:t>ing the comparison</w:t>
      </w:r>
      <w:r>
        <w:t>.</w:t>
      </w:r>
      <w:r w:rsidR="00152916">
        <w:t xml:space="preserve"> </w:t>
      </w:r>
      <w:r w:rsidR="005867FB">
        <w:t>Measurements have been completed</w:t>
      </w:r>
      <w:r w:rsidR="00BB1442">
        <w:t xml:space="preserve"> and evaluated.</w:t>
      </w:r>
    </w:p>
    <w:p w14:paraId="21FB9DA2" w14:textId="7D5D0FF3" w:rsidR="00CD263C" w:rsidRPr="00CD263C" w:rsidRDefault="00CD263C" w:rsidP="00CD263C">
      <w:pPr>
        <w:rPr>
          <w:lang w:val="en-US"/>
        </w:rPr>
      </w:pPr>
      <w:r w:rsidRPr="00CD263C">
        <w:rPr>
          <w:lang w:val="en-US"/>
        </w:rPr>
        <w:t>A</w:t>
      </w:r>
      <w:r>
        <w:rPr>
          <w:lang w:val="en-US"/>
        </w:rPr>
        <w:t>. Sobina</w:t>
      </w:r>
      <w:r w:rsidRPr="00CD263C">
        <w:rPr>
          <w:lang w:val="en-US"/>
        </w:rPr>
        <w:t xml:space="preserve"> recapped that five results were received and, </w:t>
      </w:r>
      <w:r>
        <w:rPr>
          <w:lang w:val="en-US"/>
        </w:rPr>
        <w:t>following EAWG’s CMC guidelines</w:t>
      </w:r>
      <w:r w:rsidRPr="00CD263C">
        <w:rPr>
          <w:lang w:val="en-US"/>
        </w:rPr>
        <w:t xml:space="preserve">, all mandatory uncertainty sources had to be </w:t>
      </w:r>
      <w:r>
        <w:rPr>
          <w:lang w:val="en-US"/>
        </w:rPr>
        <w:t>addressed</w:t>
      </w:r>
      <w:r w:rsidRPr="00CD263C">
        <w:rPr>
          <w:lang w:val="en-US"/>
        </w:rPr>
        <w:t xml:space="preserve"> in </w:t>
      </w:r>
      <w:r>
        <w:rPr>
          <w:lang w:val="en-US"/>
        </w:rPr>
        <w:t xml:space="preserve">the </w:t>
      </w:r>
      <w:r w:rsidRPr="00CD263C">
        <w:rPr>
          <w:lang w:val="en-US"/>
        </w:rPr>
        <w:t>participant reports. After a coordinator request, all labs resubmitted</w:t>
      </w:r>
      <w:r w:rsidR="005763A1">
        <w:rPr>
          <w:lang w:val="en-US"/>
        </w:rPr>
        <w:t xml:space="preserve"> reports with updated uncertainty data before the results </w:t>
      </w:r>
      <w:proofErr w:type="gramStart"/>
      <w:r w:rsidR="005763A1">
        <w:rPr>
          <w:lang w:val="en-US"/>
        </w:rPr>
        <w:t>have been</w:t>
      </w:r>
      <w:proofErr w:type="gramEnd"/>
      <w:r w:rsidR="005763A1">
        <w:rPr>
          <w:lang w:val="en-US"/>
        </w:rPr>
        <w:t xml:space="preserve"> disclosed to all participants</w:t>
      </w:r>
      <w:r>
        <w:rPr>
          <w:lang w:val="en-US"/>
        </w:rPr>
        <w:t>. One</w:t>
      </w:r>
      <w:r w:rsidRPr="00CD263C">
        <w:rPr>
          <w:lang w:val="en-US"/>
        </w:rPr>
        <w:t xml:space="preserve"> lab (P3) was allowed to correct </w:t>
      </w:r>
      <w:r>
        <w:rPr>
          <w:lang w:val="en-US"/>
        </w:rPr>
        <w:t>its result</w:t>
      </w:r>
      <w:r w:rsidRPr="00CD263C">
        <w:rPr>
          <w:lang w:val="en-US"/>
        </w:rPr>
        <w:t xml:space="preserve"> and uncertainty for a calculation error, while a second </w:t>
      </w:r>
      <w:r w:rsidR="005763A1">
        <w:rPr>
          <w:lang w:val="en-US"/>
        </w:rPr>
        <w:t xml:space="preserve">lab </w:t>
      </w:r>
      <w:r w:rsidRPr="00CD263C">
        <w:rPr>
          <w:lang w:val="en-US"/>
        </w:rPr>
        <w:t>(P1) was not</w:t>
      </w:r>
      <w:r>
        <w:rPr>
          <w:lang w:val="en-US"/>
        </w:rPr>
        <w:t xml:space="preserve">, since it </w:t>
      </w:r>
      <w:r w:rsidRPr="00CD263C">
        <w:rPr>
          <w:lang w:val="en-US"/>
        </w:rPr>
        <w:t>request</w:t>
      </w:r>
      <w:r>
        <w:rPr>
          <w:lang w:val="en-US"/>
        </w:rPr>
        <w:t xml:space="preserve">ed </w:t>
      </w:r>
      <w:r w:rsidR="005763A1">
        <w:rPr>
          <w:lang w:val="en-US"/>
        </w:rPr>
        <w:t xml:space="preserve">to apply </w:t>
      </w:r>
      <w:r w:rsidRPr="00CD263C">
        <w:rPr>
          <w:lang w:val="en-US"/>
        </w:rPr>
        <w:t xml:space="preserve">a different </w:t>
      </w:r>
      <w:r>
        <w:rPr>
          <w:lang w:val="en-US"/>
        </w:rPr>
        <w:t xml:space="preserve">evaluation </w:t>
      </w:r>
      <w:r w:rsidRPr="00CD263C">
        <w:rPr>
          <w:lang w:val="en-US"/>
        </w:rPr>
        <w:t xml:space="preserve">method, not an </w:t>
      </w:r>
      <w:r>
        <w:rPr>
          <w:lang w:val="en-US"/>
        </w:rPr>
        <w:t xml:space="preserve">obvious transcription or calculation </w:t>
      </w:r>
      <w:r w:rsidRPr="00CD263C">
        <w:rPr>
          <w:lang w:val="en-US"/>
        </w:rPr>
        <w:t xml:space="preserve">error. </w:t>
      </w:r>
      <w:r w:rsidR="005763A1">
        <w:rPr>
          <w:lang w:val="en-US"/>
        </w:rPr>
        <w:t xml:space="preserve">A. Sobina </w:t>
      </w:r>
      <w:r w:rsidR="00D3624D">
        <w:rPr>
          <w:lang w:val="en-US"/>
        </w:rPr>
        <w:t>mentioned</w:t>
      </w:r>
      <w:r w:rsidRPr="00CD263C">
        <w:rPr>
          <w:lang w:val="en-US"/>
        </w:rPr>
        <w:t xml:space="preserve"> </w:t>
      </w:r>
      <w:r w:rsidR="005204F2">
        <w:rPr>
          <w:lang w:val="en-US"/>
        </w:rPr>
        <w:t>insufficient consideration</w:t>
      </w:r>
      <w:r w:rsidRPr="00CD263C">
        <w:rPr>
          <w:lang w:val="en-US"/>
        </w:rPr>
        <w:t xml:space="preserve"> of oxygen effects of P1’s </w:t>
      </w:r>
      <w:r>
        <w:rPr>
          <w:lang w:val="en-US"/>
        </w:rPr>
        <w:t>r</w:t>
      </w:r>
      <w:r w:rsidRPr="00CD263C">
        <w:rPr>
          <w:lang w:val="en-US"/>
        </w:rPr>
        <w:t>esult</w:t>
      </w:r>
      <w:r w:rsidR="005204F2">
        <w:rPr>
          <w:lang w:val="en-US"/>
        </w:rPr>
        <w:t xml:space="preserve"> in the uncertainty. D</w:t>
      </w:r>
      <w:r w:rsidRPr="00CD263C">
        <w:rPr>
          <w:lang w:val="en-US"/>
        </w:rPr>
        <w:t>issolving Na</w:t>
      </w:r>
      <w:r w:rsidRPr="00CD263C">
        <w:rPr>
          <w:vertAlign w:val="subscript"/>
          <w:lang w:val="en-US"/>
        </w:rPr>
        <w:t>2</w:t>
      </w:r>
      <w:r w:rsidRPr="00CD263C">
        <w:rPr>
          <w:lang w:val="en-US"/>
        </w:rPr>
        <w:t>C</w:t>
      </w:r>
      <w:r w:rsidRPr="00CD263C">
        <w:rPr>
          <w:vertAlign w:val="subscript"/>
          <w:lang w:val="en-US"/>
        </w:rPr>
        <w:t>2</w:t>
      </w:r>
      <w:r w:rsidRPr="00CD263C">
        <w:rPr>
          <w:lang w:val="en-US"/>
        </w:rPr>
        <w:t>O</w:t>
      </w:r>
      <w:r w:rsidRPr="00CD263C">
        <w:rPr>
          <w:vertAlign w:val="subscript"/>
          <w:lang w:val="en-US"/>
        </w:rPr>
        <w:t>4</w:t>
      </w:r>
      <w:r w:rsidRPr="00CD263C">
        <w:rPr>
          <w:lang w:val="en-US"/>
        </w:rPr>
        <w:t xml:space="preserve"> in hot H</w:t>
      </w:r>
      <w:r w:rsidRPr="00CD263C">
        <w:rPr>
          <w:vertAlign w:val="subscript"/>
          <w:lang w:val="en-US"/>
        </w:rPr>
        <w:t>2</w:t>
      </w:r>
      <w:r w:rsidRPr="00CD263C">
        <w:rPr>
          <w:lang w:val="en-US"/>
        </w:rPr>
        <w:t>SO</w:t>
      </w:r>
      <w:r w:rsidRPr="00CD263C">
        <w:rPr>
          <w:vertAlign w:val="subscript"/>
          <w:lang w:val="en-US"/>
        </w:rPr>
        <w:t>4</w:t>
      </w:r>
      <w:r w:rsidRPr="00CD263C">
        <w:rPr>
          <w:lang w:val="en-US"/>
        </w:rPr>
        <w:t xml:space="preserve"> forms oxalic acid, which can decompose and/or be oxidized by dissolved O</w:t>
      </w:r>
      <w:r w:rsidRPr="00CD263C">
        <w:rPr>
          <w:vertAlign w:val="subscript"/>
          <w:lang w:val="en-US"/>
        </w:rPr>
        <w:t>2</w:t>
      </w:r>
      <w:r w:rsidRPr="00CD263C">
        <w:rPr>
          <w:lang w:val="en-US"/>
        </w:rPr>
        <w:t xml:space="preserve">; hence oxygen should be purged and heating without </w:t>
      </w:r>
      <w:proofErr w:type="gramStart"/>
      <w:r w:rsidRPr="00CD263C">
        <w:rPr>
          <w:lang w:val="en-US"/>
        </w:rPr>
        <w:t>Ce(</w:t>
      </w:r>
      <w:proofErr w:type="gramEnd"/>
      <w:r w:rsidRPr="00CD263C">
        <w:rPr>
          <w:lang w:val="en-US"/>
        </w:rPr>
        <w:t xml:space="preserve">IV) minimized. Statistically, the results </w:t>
      </w:r>
      <w:r w:rsidR="005204F2">
        <w:rPr>
          <w:lang w:val="en-US"/>
        </w:rPr>
        <w:t>and their uncertainties must be assumed</w:t>
      </w:r>
      <w:r w:rsidRPr="00CD263C">
        <w:rPr>
          <w:lang w:val="en-US"/>
        </w:rPr>
        <w:t xml:space="preserve"> inconsisten</w:t>
      </w:r>
      <w:r w:rsidR="005204F2">
        <w:rPr>
          <w:lang w:val="en-US"/>
        </w:rPr>
        <w:t>t</w:t>
      </w:r>
      <w:r w:rsidRPr="00CD263C">
        <w:rPr>
          <w:lang w:val="en-US"/>
        </w:rPr>
        <w:t xml:space="preserve"> (</w:t>
      </w:r>
      <w:r w:rsidRPr="00CD263C">
        <w:rPr>
          <w:lang w:val="de-DE"/>
        </w:rPr>
        <w:t>χ</w:t>
      </w:r>
      <w:r w:rsidRPr="00CD263C">
        <w:rPr>
          <w:lang w:val="en-US"/>
        </w:rPr>
        <w:t>² above the critical value). Applying the NIST Decision Tree</w:t>
      </w:r>
      <w:r w:rsidR="005763A1">
        <w:rPr>
          <w:lang w:val="en-US"/>
        </w:rPr>
        <w:t>/Consensus Builder</w:t>
      </w:r>
      <w:r w:rsidRPr="00CD263C">
        <w:rPr>
          <w:lang w:val="en-US"/>
        </w:rPr>
        <w:t xml:space="preserve"> pointed to a hierarchical Gaussian estimator and a </w:t>
      </w:r>
      <w:r w:rsidR="005204F2">
        <w:rPr>
          <w:lang w:val="en-US"/>
        </w:rPr>
        <w:t xml:space="preserve">KCRV uncertainty of around </w:t>
      </w:r>
      <w:r w:rsidRPr="00CD263C">
        <w:rPr>
          <w:lang w:val="en-US"/>
        </w:rPr>
        <w:t xml:space="preserve">0.056%, which would </w:t>
      </w:r>
      <w:r w:rsidR="005204F2">
        <w:rPr>
          <w:lang w:val="en-US"/>
        </w:rPr>
        <w:t xml:space="preserve">result in a </w:t>
      </w:r>
      <w:r w:rsidRPr="00CD263C">
        <w:rPr>
          <w:lang w:val="en-US"/>
        </w:rPr>
        <w:t xml:space="preserve">minimum CMC </w:t>
      </w:r>
      <w:r w:rsidR="005204F2">
        <w:rPr>
          <w:lang w:val="en-US"/>
        </w:rPr>
        <w:t xml:space="preserve">uncertainty of </w:t>
      </w:r>
      <w:r w:rsidRPr="00CD263C">
        <w:rPr>
          <w:lang w:val="en-US"/>
        </w:rPr>
        <w:t>≈ 0.11%</w:t>
      </w:r>
      <w:r w:rsidR="005763A1">
        <w:rPr>
          <w:lang w:val="en-US"/>
        </w:rPr>
        <w:t xml:space="preserve"> for all participants. This is mu</w:t>
      </w:r>
      <w:r w:rsidRPr="00CD263C">
        <w:rPr>
          <w:lang w:val="en-US"/>
        </w:rPr>
        <w:t xml:space="preserve">ch </w:t>
      </w:r>
      <w:r w:rsidR="005204F2">
        <w:rPr>
          <w:lang w:val="en-US"/>
        </w:rPr>
        <w:t>larger</w:t>
      </w:r>
      <w:r w:rsidRPr="00CD263C">
        <w:rPr>
          <w:lang w:val="en-US"/>
        </w:rPr>
        <w:t xml:space="preserve"> than typical</w:t>
      </w:r>
      <w:r w:rsidR="005763A1">
        <w:rPr>
          <w:lang w:val="en-US"/>
        </w:rPr>
        <w:t xml:space="preserve"> </w:t>
      </w:r>
      <w:r w:rsidRPr="00CD263C">
        <w:rPr>
          <w:lang w:val="en-US"/>
        </w:rPr>
        <w:t>expanded uncertainties for high-purity salts (&lt;0.03%)</w:t>
      </w:r>
      <w:r w:rsidR="005763A1">
        <w:rPr>
          <w:lang w:val="en-US"/>
        </w:rPr>
        <w:t xml:space="preserve"> that have been reported by some institutes</w:t>
      </w:r>
      <w:r w:rsidRPr="00CD263C">
        <w:rPr>
          <w:lang w:val="en-US"/>
        </w:rPr>
        <w:t>. Classical estimators (mean, median, u-weighted mean with observed dispersion) gave similar KCRVs with smaller</w:t>
      </w:r>
      <w:r w:rsidR="005204F2">
        <w:rPr>
          <w:lang w:val="en-US"/>
        </w:rPr>
        <w:t>, but still significant</w:t>
      </w:r>
      <w:r w:rsidRPr="00CD263C">
        <w:rPr>
          <w:lang w:val="en-US"/>
        </w:rPr>
        <w:t xml:space="preserve"> u(KCRV). A</w:t>
      </w:r>
      <w:r w:rsidR="005763A1">
        <w:rPr>
          <w:lang w:val="en-US"/>
        </w:rPr>
        <w:t>. Sobina</w:t>
      </w:r>
      <w:r w:rsidRPr="00CD263C">
        <w:rPr>
          <w:lang w:val="en-US"/>
        </w:rPr>
        <w:t xml:space="preserve"> proposed either (a) </w:t>
      </w:r>
      <w:r w:rsidR="005204F2">
        <w:rPr>
          <w:lang w:val="en-US"/>
        </w:rPr>
        <w:t>include</w:t>
      </w:r>
      <w:r w:rsidRPr="00CD263C">
        <w:rPr>
          <w:lang w:val="en-US"/>
        </w:rPr>
        <w:t xml:space="preserve"> all five </w:t>
      </w:r>
      <w:r w:rsidR="005204F2">
        <w:rPr>
          <w:lang w:val="en-US"/>
        </w:rPr>
        <w:t xml:space="preserve">results for KCRV calculation </w:t>
      </w:r>
      <w:r w:rsidRPr="00CD263C">
        <w:rPr>
          <w:lang w:val="en-US"/>
        </w:rPr>
        <w:t xml:space="preserve">and use the median as KCRV, setting the minimum CMC </w:t>
      </w:r>
      <w:r w:rsidR="005204F2">
        <w:rPr>
          <w:lang w:val="en-US"/>
        </w:rPr>
        <w:t xml:space="preserve">uncertainty to </w:t>
      </w:r>
      <w:r w:rsidRPr="00CD263C">
        <w:rPr>
          <w:lang w:val="en-US"/>
        </w:rPr>
        <w:t>at least as large as u(KCRV)</w:t>
      </w:r>
      <w:r w:rsidR="005763A1">
        <w:rPr>
          <w:lang w:val="en-US"/>
        </w:rPr>
        <w:t xml:space="preserve"> for all participants</w:t>
      </w:r>
      <w:r w:rsidRPr="00CD263C">
        <w:rPr>
          <w:lang w:val="en-US"/>
        </w:rPr>
        <w:t xml:space="preserve">, or (b) exclude P1 </w:t>
      </w:r>
      <w:r w:rsidR="005204F2">
        <w:rPr>
          <w:lang w:val="en-US"/>
        </w:rPr>
        <w:t xml:space="preserve">for </w:t>
      </w:r>
      <w:r w:rsidRPr="00CD263C">
        <w:rPr>
          <w:lang w:val="en-US"/>
        </w:rPr>
        <w:t xml:space="preserve">technical </w:t>
      </w:r>
      <w:r w:rsidR="005204F2">
        <w:rPr>
          <w:lang w:val="en-US"/>
        </w:rPr>
        <w:t>reasons</w:t>
      </w:r>
      <w:r w:rsidRPr="00CD263C">
        <w:rPr>
          <w:lang w:val="en-US"/>
        </w:rPr>
        <w:t xml:space="preserve"> and use the u</w:t>
      </w:r>
      <w:r w:rsidR="005204F2">
        <w:rPr>
          <w:lang w:val="en-US"/>
        </w:rPr>
        <w:t xml:space="preserve">ncertainty </w:t>
      </w:r>
      <w:r w:rsidRPr="00CD263C">
        <w:rPr>
          <w:lang w:val="en-US"/>
        </w:rPr>
        <w:t xml:space="preserve">weighted mean (with dispersion correction), with </w:t>
      </w:r>
      <w:r w:rsidR="005204F2">
        <w:rPr>
          <w:lang w:val="en-US"/>
        </w:rPr>
        <w:t xml:space="preserve">the habitual calculation of </w:t>
      </w:r>
      <w:r w:rsidRPr="00CD263C">
        <w:rPr>
          <w:lang w:val="en-US"/>
        </w:rPr>
        <w:t>minimum CMC</w:t>
      </w:r>
      <w:r w:rsidR="005763A1">
        <w:rPr>
          <w:lang w:val="en-US"/>
        </w:rPr>
        <w:t xml:space="preserve"> uncertainty</w:t>
      </w:r>
      <w:r w:rsidRPr="00CD263C">
        <w:rPr>
          <w:lang w:val="en-US"/>
        </w:rPr>
        <w:t>.</w:t>
      </w:r>
    </w:p>
    <w:p w14:paraId="27BF0039" w14:textId="45BB6414" w:rsidR="00CD263C" w:rsidRDefault="00CD263C" w:rsidP="00CD263C">
      <w:r w:rsidRPr="00CD263C">
        <w:rPr>
          <w:lang w:val="en-US"/>
        </w:rPr>
        <w:t xml:space="preserve">Discussion &amp; outcome: The group </w:t>
      </w:r>
      <w:r w:rsidR="005763A1">
        <w:rPr>
          <w:lang w:val="en-US"/>
        </w:rPr>
        <w:t>discussed</w:t>
      </w:r>
      <w:r w:rsidRPr="00CD263C">
        <w:rPr>
          <w:lang w:val="en-US"/>
        </w:rPr>
        <w:t xml:space="preserve"> whether P1 should be excluded. M</w:t>
      </w:r>
      <w:r w:rsidR="005204F2">
        <w:rPr>
          <w:lang w:val="en-US"/>
        </w:rPr>
        <w:t xml:space="preserve">. </w:t>
      </w:r>
      <w:proofErr w:type="spellStart"/>
      <w:r w:rsidR="005204F2">
        <w:rPr>
          <w:lang w:val="en-US"/>
        </w:rPr>
        <w:t>Mariassy</w:t>
      </w:r>
      <w:proofErr w:type="spellEnd"/>
      <w:r w:rsidRPr="00CD263C">
        <w:rPr>
          <w:lang w:val="en-US"/>
        </w:rPr>
        <w:t xml:space="preserve"> noted that air-oxidation/decomposition problems are mainly catalyzed by </w:t>
      </w:r>
      <w:proofErr w:type="gramStart"/>
      <w:r w:rsidRPr="00CD263C">
        <w:rPr>
          <w:lang w:val="en-US"/>
        </w:rPr>
        <w:t>Mn(</w:t>
      </w:r>
      <w:proofErr w:type="gramEnd"/>
      <w:r w:rsidRPr="00CD263C">
        <w:rPr>
          <w:lang w:val="en-US"/>
        </w:rPr>
        <w:t xml:space="preserve">II) and should be much smaller with </w:t>
      </w:r>
      <w:proofErr w:type="gramStart"/>
      <w:r w:rsidRPr="00CD263C">
        <w:rPr>
          <w:lang w:val="en-US"/>
        </w:rPr>
        <w:t>Ce(</w:t>
      </w:r>
      <w:proofErr w:type="gramEnd"/>
      <w:r w:rsidRPr="00CD263C">
        <w:rPr>
          <w:lang w:val="en-US"/>
        </w:rPr>
        <w:t>IV), so the technical rationale for exclusion was not unequivocal. Given this doubt</w:t>
      </w:r>
      <w:r w:rsidR="005763A1">
        <w:rPr>
          <w:lang w:val="en-US"/>
        </w:rPr>
        <w:t xml:space="preserve">, </w:t>
      </w:r>
      <w:r w:rsidRPr="00CD263C">
        <w:rPr>
          <w:lang w:val="en-US"/>
        </w:rPr>
        <w:t>and that DOEs/KCRV would not</w:t>
      </w:r>
      <w:r w:rsidR="005204F2">
        <w:rPr>
          <w:lang w:val="en-US"/>
        </w:rPr>
        <w:t xml:space="preserve"> </w:t>
      </w:r>
      <w:r w:rsidRPr="00CD263C">
        <w:rPr>
          <w:lang w:val="en-US"/>
        </w:rPr>
        <w:t xml:space="preserve">change </w:t>
      </w:r>
      <w:r w:rsidR="005763A1">
        <w:rPr>
          <w:lang w:val="en-US"/>
        </w:rPr>
        <w:t xml:space="preserve">significantly </w:t>
      </w:r>
      <w:r w:rsidRPr="00CD263C">
        <w:rPr>
          <w:lang w:val="en-US"/>
        </w:rPr>
        <w:t>either way</w:t>
      </w:r>
      <w:r w:rsidR="005763A1">
        <w:rPr>
          <w:lang w:val="en-US"/>
        </w:rPr>
        <w:t>, t</w:t>
      </w:r>
      <w:r w:rsidRPr="00CD263C">
        <w:rPr>
          <w:lang w:val="en-US"/>
        </w:rPr>
        <w:t>he group favored retaining all five results and adopting the median as KCRV, treating the KCRV’s standard uncertainty as a lower bound for minimum CMC uncertainties rather than invoking the NIST decision</w:t>
      </w:r>
      <w:r w:rsidR="005763A1">
        <w:rPr>
          <w:lang w:val="en-US"/>
        </w:rPr>
        <w:t xml:space="preserve"> </w:t>
      </w:r>
      <w:r w:rsidRPr="00CD263C">
        <w:rPr>
          <w:lang w:val="en-US"/>
        </w:rPr>
        <w:t>tree, which would inflate uncertainties further. This acknowledges the observed spread and under</w:t>
      </w:r>
      <w:r w:rsidR="005763A1">
        <w:rPr>
          <w:lang w:val="en-US"/>
        </w:rPr>
        <w:t>estimated</w:t>
      </w:r>
      <w:r w:rsidRPr="00CD263C">
        <w:rPr>
          <w:lang w:val="en-US"/>
        </w:rPr>
        <w:t xml:space="preserve"> uncertainties without over-penalizing participants</w:t>
      </w:r>
      <w:r w:rsidR="005763A1">
        <w:rPr>
          <w:lang w:val="en-US"/>
        </w:rPr>
        <w:t xml:space="preserve"> with good performance</w:t>
      </w:r>
      <w:r w:rsidRPr="00CD263C">
        <w:rPr>
          <w:lang w:val="en-US"/>
        </w:rPr>
        <w:t>. A</w:t>
      </w:r>
      <w:r w:rsidR="005763A1">
        <w:rPr>
          <w:lang w:val="en-US"/>
        </w:rPr>
        <w:t>. Sobina</w:t>
      </w:r>
      <w:r w:rsidRPr="00CD263C">
        <w:rPr>
          <w:lang w:val="en-US"/>
        </w:rPr>
        <w:t xml:space="preserve"> agreed to revise Draft A and will send it to S</w:t>
      </w:r>
      <w:r w:rsidR="005763A1">
        <w:rPr>
          <w:lang w:val="en-US"/>
        </w:rPr>
        <w:t>. Seitz</w:t>
      </w:r>
      <w:r w:rsidRPr="00CD263C">
        <w:rPr>
          <w:lang w:val="en-US"/>
        </w:rPr>
        <w:t xml:space="preserve"> for finalization before circulation to the group.</w:t>
      </w:r>
    </w:p>
    <w:p w14:paraId="444E1E4F" w14:textId="7C3EA3B5" w:rsidR="008274AC" w:rsidRDefault="00630796" w:rsidP="008274AC">
      <w:pPr>
        <w:pStyle w:val="berschrift2"/>
      </w:pPr>
      <w:r>
        <w:t>CCQM-P228 p</w:t>
      </w:r>
      <w:r w:rsidR="008274AC">
        <w:t>ilot study on impedance spectroscopy</w:t>
      </w:r>
    </w:p>
    <w:p w14:paraId="14E5D3BD" w14:textId="72A1412E" w:rsidR="008A5ED2" w:rsidRDefault="008A5ED2" w:rsidP="008A5ED2">
      <w:r>
        <w:t xml:space="preserve">The pilot study, coordinated by PTB, investigates practices for measuring impedance spectra </w:t>
      </w:r>
      <w:r>
        <w:lastRenderedPageBreak/>
        <w:t>of typical conductivity reference solutions, with the aim of preparing a best practice guide for determining the solution resistance in conductivity measurement cells. Participating laboratories measure impedance spectra of 0.1 S/m and 10 S/m KCl solutions and complete a survey on their measurement practice.</w:t>
      </w:r>
      <w:r w:rsidR="00577208">
        <w:t xml:space="preserve"> </w:t>
      </w:r>
      <w:r>
        <w:t>As reported by S. Seitz, measurements are completed</w:t>
      </w:r>
      <w:r w:rsidR="00577208">
        <w:t>,</w:t>
      </w:r>
      <w:r>
        <w:t xml:space="preserve"> and reports have been received. The evaluation of results and survey responses has been postponed to November 2025, with Draft </w:t>
      </w:r>
      <w:proofErr w:type="spellStart"/>
      <w:r>
        <w:t>A</w:t>
      </w:r>
      <w:proofErr w:type="spellEnd"/>
      <w:r>
        <w:t xml:space="preserve"> expected before the end of the year.</w:t>
      </w:r>
    </w:p>
    <w:p w14:paraId="7E314C6E" w14:textId="597C4334" w:rsidR="008274AC" w:rsidRDefault="00B05CFF" w:rsidP="001C17B3">
      <w:pPr>
        <w:pStyle w:val="berschrift2"/>
      </w:pPr>
      <w:r>
        <w:t>Subsequent</w:t>
      </w:r>
      <w:r w:rsidR="001C17B3">
        <w:t xml:space="preserve"> </w:t>
      </w:r>
      <w:r>
        <w:t>c</w:t>
      </w:r>
      <w:r w:rsidR="001C17B3">
        <w:t>omparisons</w:t>
      </w:r>
    </w:p>
    <w:p w14:paraId="7A6E1F57" w14:textId="1C28EFE5" w:rsidR="00CA5E12" w:rsidRDefault="00F14FCF" w:rsidP="001C17B3">
      <w:r w:rsidRPr="00F14FCF">
        <w:t xml:space="preserve">Several bilateral or subsequent comparisons were briefly reported. K99.1 (PTB–KRISS, pH of a phosphate buffer) has been completed; the results agree well and </w:t>
      </w:r>
      <w:r w:rsidR="00FA67F8">
        <w:t>the Final Report</w:t>
      </w:r>
      <w:r w:rsidRPr="00F14FCF">
        <w:t xml:space="preserve"> is available. K73.2018.4 (PTB–BFKH–INMETRO, assay of H</w:t>
      </w:r>
      <w:r>
        <w:t>Cl</w:t>
      </w:r>
      <w:r w:rsidRPr="00F14FCF">
        <w:t xml:space="preserve">) has also been finalized; </w:t>
      </w:r>
      <w:r w:rsidR="00FA67F8">
        <w:t>The f</w:t>
      </w:r>
      <w:r>
        <w:t>inal</w:t>
      </w:r>
      <w:r w:rsidR="00FA67F8">
        <w:t xml:space="preserve"> is available</w:t>
      </w:r>
      <w:r w:rsidRPr="0068524B">
        <w:t xml:space="preserve">. K173.2 (SMU as pilot, with INMETRO, KEBS, and BFKH, assay of sodium carbonate) was presented by M. </w:t>
      </w:r>
      <w:proofErr w:type="spellStart"/>
      <w:r w:rsidRPr="0068524B">
        <w:t>Mariassy</w:t>
      </w:r>
      <w:proofErr w:type="spellEnd"/>
      <w:r w:rsidRPr="0068524B">
        <w:t xml:space="preserve">; results are consistent, with minor </w:t>
      </w:r>
      <w:r w:rsidR="0068524B">
        <w:t xml:space="preserve">a minor </w:t>
      </w:r>
      <w:r w:rsidRPr="0068524B">
        <w:t>deviation</w:t>
      </w:r>
      <w:r w:rsidR="0068524B">
        <w:t xml:space="preserve"> of INMETRO,</w:t>
      </w:r>
      <w:r w:rsidRPr="0068524B">
        <w:t xml:space="preserve"> </w:t>
      </w:r>
      <w:r w:rsidR="00E94588" w:rsidRPr="0068524B">
        <w:t>presumably due</w:t>
      </w:r>
      <w:r w:rsidRPr="0068524B">
        <w:t xml:space="preserve"> to </w:t>
      </w:r>
      <w:r w:rsidR="0068524B">
        <w:t xml:space="preserve">use of old HCl. </w:t>
      </w:r>
      <w:r w:rsidR="00FD15F4">
        <w:t>The</w:t>
      </w:r>
      <w:r w:rsidR="00EE0E2E">
        <w:t xml:space="preserve"> uncertainty of </w:t>
      </w:r>
      <w:r w:rsidR="0068524B">
        <w:t>KEBS results w</w:t>
      </w:r>
      <w:r w:rsidR="00FD15F4">
        <w:t>as</w:t>
      </w:r>
      <w:r w:rsidR="0068524B">
        <w:t xml:space="preserve"> </w:t>
      </w:r>
      <w:r w:rsidR="00FD15F4">
        <w:t>influenced by</w:t>
      </w:r>
      <w:r w:rsidR="0068524B">
        <w:t xml:space="preserve"> a large repeatability</w:t>
      </w:r>
      <w:r w:rsidR="00FD15F4">
        <w:t xml:space="preserve"> contribution</w:t>
      </w:r>
      <w:r w:rsidRPr="0068524B">
        <w:t xml:space="preserve">. </w:t>
      </w:r>
      <w:r w:rsidR="00FA67F8">
        <w:t>The Final Report</w:t>
      </w:r>
      <w:r w:rsidRPr="0068524B">
        <w:t xml:space="preserve"> is </w:t>
      </w:r>
      <w:r w:rsidR="00563DE1" w:rsidRPr="0068524B">
        <w:t>available</w:t>
      </w:r>
      <w:r w:rsidR="0068524B" w:rsidRPr="0068524B">
        <w:t>.</w:t>
      </w:r>
    </w:p>
    <w:p w14:paraId="4D5FBD7D" w14:textId="03ABEA99" w:rsidR="000C098B" w:rsidRDefault="000C098B" w:rsidP="000C098B">
      <w:pPr>
        <w:pStyle w:val="berschrift2"/>
      </w:pPr>
      <w:bookmarkStart w:id="0" w:name="_Hlk198020079"/>
      <w:r>
        <w:t>EURAMET</w:t>
      </w:r>
      <w:r w:rsidR="00CA7117">
        <w:t>.QM-K170 (EURAMET 1684)</w:t>
      </w:r>
    </w:p>
    <w:bookmarkEnd w:id="0"/>
    <w:p w14:paraId="45217412" w14:textId="12F9A1CE" w:rsidR="00746E0E" w:rsidRDefault="00577208" w:rsidP="000C098B">
      <w:r>
        <w:t xml:space="preserve">S. Seitz has presented an update on the </w:t>
      </w:r>
      <w:r w:rsidR="00ED1A18">
        <w:t>regional</w:t>
      </w:r>
      <w:r w:rsidR="00364FAE">
        <w:t>,</w:t>
      </w:r>
      <w:r w:rsidR="00ED1A18">
        <w:t xml:space="preserve"> </w:t>
      </w:r>
      <w:r w:rsidR="000C4E79" w:rsidRPr="000C4E79">
        <w:t>subsequent comparison EURAMET.QM-K170</w:t>
      </w:r>
      <w:r w:rsidR="00364FAE">
        <w:t xml:space="preserve"> (conductivity of KCl solutions at 0.5 and 20 S/m)</w:t>
      </w:r>
      <w:r w:rsidR="000C4E79" w:rsidRPr="000C4E79">
        <w:t xml:space="preserve">, coordinated by PTB and linked to CCQM-K170. </w:t>
      </w:r>
      <w:r w:rsidR="00ED1A18">
        <w:t>NIM served as linking laborator</w:t>
      </w:r>
      <w:r w:rsidR="00094E10">
        <w:t>y</w:t>
      </w:r>
      <w:r w:rsidR="00ED1A18">
        <w:t xml:space="preserve"> for both kinds of solutions, SMU served as additional linking lab for the 0.5 S/m solution.</w:t>
      </w:r>
      <w:r w:rsidR="000C4E79" w:rsidRPr="000C4E79">
        <w:t xml:space="preserve"> Seitz presented the evaluation of results. The agreement between the two conductivity levels (0.5 S/m and 20 S/m) and the original CCQM comparison is generally good</w:t>
      </w:r>
      <w:r w:rsidR="00364FAE">
        <w:t>. A</w:t>
      </w:r>
      <w:r w:rsidR="000C4E79" w:rsidRPr="000C4E79">
        <w:t xml:space="preserve"> few participants showed notable deviations</w:t>
      </w:r>
      <w:r w:rsidR="00364FAE">
        <w:t xml:space="preserve">, </w:t>
      </w:r>
      <w:r w:rsidR="00FB29B3">
        <w:t>presumably</w:t>
      </w:r>
      <w:r w:rsidR="000C4E79" w:rsidRPr="000C4E79">
        <w:t xml:space="preserve"> due to missing temperature control or use of secondary measurement methods. </w:t>
      </w:r>
      <w:r w:rsidR="007C0FB2">
        <w:t>However, since this is a subsequent KC, the deviations do not affect the KCRV and its uncertainties, but only</w:t>
      </w:r>
      <w:r w:rsidR="000C4E79" w:rsidRPr="000C4E79">
        <w:t xml:space="preserve"> the </w:t>
      </w:r>
      <w:r w:rsidR="00C806EC">
        <w:t>minimal CMC uncertainties of these institutes</w:t>
      </w:r>
      <w:r w:rsidR="00F91F6B">
        <w:t xml:space="preserve">. </w:t>
      </w:r>
      <w:r>
        <w:t xml:space="preserve">Thus, it is left to the institutes to investigate potential sources of uncertainties. However, regarding very large deviations, </w:t>
      </w:r>
      <w:r w:rsidR="00C806EC">
        <w:t>S. Seitz mentioned that there should be a discussion of</w:t>
      </w:r>
      <w:r w:rsidR="000C4E79" w:rsidRPr="000C4E79">
        <w:t xml:space="preserve"> whether the KC guidelines should define a quantitative limit </w:t>
      </w:r>
      <w:r w:rsidR="00C806EC">
        <w:t xml:space="preserve">for </w:t>
      </w:r>
      <w:proofErr w:type="spellStart"/>
      <w:r w:rsidR="00C71E27">
        <w:t>DoEs</w:t>
      </w:r>
      <w:proofErr w:type="spellEnd"/>
      <w:r w:rsidR="00C71E27">
        <w:t xml:space="preserve"> </w:t>
      </w:r>
      <w:r w:rsidR="000C4E79" w:rsidRPr="000C4E79">
        <w:t xml:space="preserve">beyond which CMC claims are no longer admissible. </w:t>
      </w:r>
      <w:r w:rsidR="00FA67F8">
        <w:t>The Final Report is available.</w:t>
      </w:r>
    </w:p>
    <w:p w14:paraId="513293C2" w14:textId="5D97F28B" w:rsidR="00A76E7C" w:rsidRDefault="00A76E7C" w:rsidP="00A76E7C">
      <w:pPr>
        <w:pStyle w:val="berschrift2"/>
      </w:pPr>
      <w:r>
        <w:t>EURAMET.QM-K91.2022</w:t>
      </w:r>
      <w:r w:rsidR="00E2350D">
        <w:t xml:space="preserve"> (EURAMET </w:t>
      </w:r>
      <w:r w:rsidR="00776634">
        <w:t>1719</w:t>
      </w:r>
      <w:r w:rsidR="00E2350D">
        <w:t>)</w:t>
      </w:r>
    </w:p>
    <w:p w14:paraId="4611C0FF" w14:textId="157EFB6B" w:rsidR="00E36571" w:rsidRPr="00E36571" w:rsidRDefault="00577208" w:rsidP="00E36571">
      <w:pPr>
        <w:rPr>
          <w:lang w:val="en-US"/>
        </w:rPr>
      </w:pPr>
      <w:r>
        <w:rPr>
          <w:lang w:val="en-US"/>
        </w:rPr>
        <w:t>G. Capitaine presented t</w:t>
      </w:r>
      <w:r w:rsidR="00E36571" w:rsidRPr="00E2350D">
        <w:rPr>
          <w:lang w:val="en-US"/>
        </w:rPr>
        <w:t>he regional subsequent comparison EURAMET.QM-K91.2022, coordinated by LNE with PTB as co-pilot and NM</w:t>
      </w:r>
      <w:r w:rsidR="00776634">
        <w:rPr>
          <w:lang w:val="en-US"/>
        </w:rPr>
        <w:t>IJ</w:t>
      </w:r>
      <w:r w:rsidR="00E36571" w:rsidRPr="00E2350D">
        <w:rPr>
          <w:lang w:val="en-US"/>
        </w:rPr>
        <w:t xml:space="preserve"> as linking laboratory, concerns the pH of a phthalate buffer in the acidic range (pH 3.8–4.2). Measurements are performed at 15 °C, 25 °C, and 37 °C, with an optional point at 50 °C. The batch has been prepared at PTB</w:t>
      </w:r>
      <w:r w:rsidR="00480944">
        <w:rPr>
          <w:lang w:val="en-US"/>
        </w:rPr>
        <w:t>, homogeneity will be measured by SMU. S</w:t>
      </w:r>
      <w:r w:rsidR="00E36571" w:rsidRPr="00E2350D">
        <w:rPr>
          <w:lang w:val="en-US"/>
        </w:rPr>
        <w:t xml:space="preserve">hipment to participants </w:t>
      </w:r>
      <w:r w:rsidR="00FA67F8">
        <w:rPr>
          <w:lang w:val="en-US"/>
        </w:rPr>
        <w:t>has been completed. Measurements are in progress. R</w:t>
      </w:r>
      <w:r w:rsidR="00E36571" w:rsidRPr="00E2350D">
        <w:rPr>
          <w:lang w:val="en-US"/>
        </w:rPr>
        <w:t xml:space="preserve">esults are expected </w:t>
      </w:r>
      <w:r w:rsidR="00FA67F8">
        <w:rPr>
          <w:lang w:val="en-US"/>
        </w:rPr>
        <w:t>in spring 2026</w:t>
      </w:r>
      <w:r w:rsidR="00E36571" w:rsidRPr="00E2350D">
        <w:rPr>
          <w:lang w:val="en-US"/>
        </w:rPr>
        <w:t xml:space="preserve">, with Draft A foreseen for the EAWG meeting in </w:t>
      </w:r>
      <w:r w:rsidR="00FA67F8">
        <w:rPr>
          <w:lang w:val="en-US"/>
        </w:rPr>
        <w:t>October</w:t>
      </w:r>
      <w:r w:rsidR="00E36571" w:rsidRPr="00E2350D">
        <w:rPr>
          <w:lang w:val="en-US"/>
        </w:rPr>
        <w:t xml:space="preserve"> 2026.</w:t>
      </w:r>
      <w:r w:rsidR="00480944">
        <w:rPr>
          <w:lang w:val="en-US"/>
        </w:rPr>
        <w:t xml:space="preserve"> </w:t>
      </w:r>
    </w:p>
    <w:p w14:paraId="43DBD1A3" w14:textId="4E568383" w:rsidR="00746E0E" w:rsidRDefault="00746E0E" w:rsidP="00746E0E">
      <w:pPr>
        <w:pStyle w:val="berschrift2"/>
      </w:pPr>
      <w:r>
        <w:t>CCQM-K</w:t>
      </w:r>
      <w:r w:rsidR="00A123AD">
        <w:t>20.</w:t>
      </w:r>
      <w:r w:rsidR="00A76E7C">
        <w:t>2025</w:t>
      </w:r>
      <w:r>
        <w:t xml:space="preserve"> </w:t>
      </w:r>
      <w:r w:rsidR="009A6508">
        <w:t xml:space="preserve">(pH on </w:t>
      </w:r>
      <w:proofErr w:type="spellStart"/>
      <w:r w:rsidR="009A6508">
        <w:t>Tetr</w:t>
      </w:r>
      <w:r w:rsidR="004B61AD">
        <w:t>a</w:t>
      </w:r>
      <w:r w:rsidR="009A6508">
        <w:t>oxalate</w:t>
      </w:r>
      <w:proofErr w:type="spellEnd"/>
      <w:r w:rsidR="009A6508">
        <w:t>)</w:t>
      </w:r>
    </w:p>
    <w:p w14:paraId="4C3EF658" w14:textId="4701D040" w:rsidR="00E377D7" w:rsidRDefault="00CF3FEF" w:rsidP="00925DDD">
      <w:pPr>
        <w:rPr>
          <w:lang w:val="en-US"/>
        </w:rPr>
      </w:pPr>
      <w:r>
        <w:rPr>
          <w:lang w:val="en-US"/>
        </w:rPr>
        <w:t>F. Gonzaga has presented the status of CCQM-K20.2025</w:t>
      </w:r>
      <w:r w:rsidR="00AB2071" w:rsidRPr="00AB2071">
        <w:rPr>
          <w:lang w:val="en-US"/>
        </w:rPr>
        <w:t xml:space="preserve"> (nominal pH ≈ 1.7)</w:t>
      </w:r>
      <w:r>
        <w:rPr>
          <w:lang w:val="en-US"/>
        </w:rPr>
        <w:t>, which</w:t>
      </w:r>
      <w:r w:rsidR="00AB2071" w:rsidRPr="00AB2071">
        <w:rPr>
          <w:lang w:val="en-US"/>
        </w:rPr>
        <w:t xml:space="preserve"> is intended to demonstrate core competence in primary pH measurement and to support corresponding CMCs. It is a follow-up to K20. Measurements are planned at 15 °C, 25 °C, 37 °C (optional 5 °C and 50 °C). Invitations were issued in January 2025; 16 institutes registered.</w:t>
      </w:r>
      <w:r>
        <w:rPr>
          <w:lang w:val="en-US"/>
        </w:rPr>
        <w:t xml:space="preserve"> </w:t>
      </w:r>
      <w:r w:rsidR="00AB2071" w:rsidRPr="00AB2071">
        <w:rPr>
          <w:lang w:val="en-US"/>
        </w:rPr>
        <w:t>F. Gonzaga reported that the batch was prepared on 21 July 2025 (≈ 51 × 1 L bottles). A pragmatic homogeneity check using the lab’s six-cell primary pH system</w:t>
      </w:r>
      <w:r w:rsidR="005D6B75">
        <w:rPr>
          <w:lang w:val="en-US"/>
        </w:rPr>
        <w:t xml:space="preserve"> was chosen. In this approach, </w:t>
      </w:r>
      <w:r w:rsidR="00AB2071" w:rsidRPr="00AB2071">
        <w:rPr>
          <w:lang w:val="en-US"/>
        </w:rPr>
        <w:t>six aliquots</w:t>
      </w:r>
      <w:r w:rsidR="00F8076E">
        <w:rPr>
          <w:lang w:val="en-US"/>
        </w:rPr>
        <w:t xml:space="preserve"> </w:t>
      </w:r>
      <w:r w:rsidR="005D6B75">
        <w:rPr>
          <w:lang w:val="en-US"/>
        </w:rPr>
        <w:t>were measured</w:t>
      </w:r>
      <w:r w:rsidR="00AB2071" w:rsidRPr="00AB2071">
        <w:rPr>
          <w:lang w:val="en-US"/>
        </w:rPr>
        <w:t xml:space="preserve"> from one bottle </w:t>
      </w:r>
      <w:r w:rsidR="00A2126D">
        <w:rPr>
          <w:lang w:val="en-US"/>
        </w:rPr>
        <w:t>and</w:t>
      </w:r>
      <w:r w:rsidR="00AB2071" w:rsidRPr="00AB2071">
        <w:rPr>
          <w:lang w:val="en-US"/>
        </w:rPr>
        <w:t xml:space="preserve"> </w:t>
      </w:r>
      <w:r w:rsidR="00F8076E">
        <w:rPr>
          <w:lang w:val="en-US"/>
        </w:rPr>
        <w:t xml:space="preserve">aliquots from six </w:t>
      </w:r>
      <w:r w:rsidR="00AB2071" w:rsidRPr="00AB2071">
        <w:rPr>
          <w:lang w:val="en-US"/>
        </w:rPr>
        <w:t>bottle</w:t>
      </w:r>
      <w:r w:rsidR="00540659">
        <w:rPr>
          <w:lang w:val="en-US"/>
        </w:rPr>
        <w:t xml:space="preserve">s were measured. They </w:t>
      </w:r>
      <w:r w:rsidR="00AB2071" w:rsidRPr="00AB2071">
        <w:rPr>
          <w:lang w:val="en-US"/>
        </w:rPr>
        <w:t xml:space="preserve">showed comparable variances (no trend), supporting batch homogeneity. </w:t>
      </w:r>
      <w:r w:rsidR="00B25041">
        <w:rPr>
          <w:lang w:val="en-US"/>
        </w:rPr>
        <w:t xml:space="preserve">There have been a few issues with sample dispatch. </w:t>
      </w:r>
      <w:r w:rsidR="00AB2071" w:rsidRPr="00AB2071">
        <w:rPr>
          <w:lang w:val="en-US"/>
        </w:rPr>
        <w:t xml:space="preserve">Shipment </w:t>
      </w:r>
      <w:r w:rsidR="00FA67F8">
        <w:rPr>
          <w:lang w:val="en-US"/>
        </w:rPr>
        <w:t xml:space="preserve">has been concluded in January 2026. Measurements and reporting </w:t>
      </w:r>
      <w:proofErr w:type="gramStart"/>
      <w:r w:rsidR="00FA67F8">
        <w:rPr>
          <w:lang w:val="en-US"/>
        </w:rPr>
        <w:t>is</w:t>
      </w:r>
      <w:proofErr w:type="gramEnd"/>
      <w:r w:rsidR="00FA67F8">
        <w:rPr>
          <w:lang w:val="en-US"/>
        </w:rPr>
        <w:t xml:space="preserve"> in progress.</w:t>
      </w:r>
    </w:p>
    <w:p w14:paraId="2B30D738" w14:textId="6BA47C69" w:rsidR="007860C1" w:rsidRDefault="007860C1" w:rsidP="007860C1">
      <w:pPr>
        <w:pStyle w:val="berschrift2"/>
      </w:pPr>
      <w:r>
        <w:lastRenderedPageBreak/>
        <w:t xml:space="preserve">Proposed pilot study on a </w:t>
      </w:r>
      <w:r w:rsidRPr="00B8589C">
        <w:t xml:space="preserve">pH of </w:t>
      </w:r>
      <w:proofErr w:type="gramStart"/>
      <w:r w:rsidRPr="00B8589C">
        <w:t>Ca(</w:t>
      </w:r>
      <w:proofErr w:type="gramEnd"/>
      <w:r w:rsidRPr="00B8589C">
        <w:t>OH)</w:t>
      </w:r>
      <w:r w:rsidRPr="00B8589C">
        <w:rPr>
          <w:vertAlign w:val="subscript"/>
        </w:rPr>
        <w:t>2</w:t>
      </w:r>
      <w:r w:rsidRPr="00B8589C">
        <w:t xml:space="preserve"> buffer</w:t>
      </w:r>
    </w:p>
    <w:p w14:paraId="3605BCFE" w14:textId="715D8B94" w:rsidR="007860C1" w:rsidRDefault="007860C1" w:rsidP="007860C1">
      <w:pPr>
        <w:rPr>
          <w:lang w:val="en-US"/>
        </w:rPr>
      </w:pPr>
      <w:r>
        <w:t xml:space="preserve">F. </w:t>
      </w:r>
      <w:proofErr w:type="spellStart"/>
      <w:r>
        <w:t>Bastkowski</w:t>
      </w:r>
      <w:proofErr w:type="spellEnd"/>
      <w:r>
        <w:t xml:space="preserve"> announced a new pilot study on the measurement of the acidity function of a calcium hydroxide buffer. The buffer is part of the IUPAC-recommended set but is rarely measured and considered challenging due to its strong temperature sensitivity and reactivity with CO</w:t>
      </w:r>
      <w:r>
        <w:rPr>
          <w:rFonts w:ascii="Cambria Math" w:hAnsi="Cambria Math" w:cs="Cambria Math"/>
        </w:rPr>
        <w:t>₂</w:t>
      </w:r>
      <w:r>
        <w:t xml:space="preserve">. Measurements are planned at 15 </w:t>
      </w:r>
      <w:r>
        <w:rPr>
          <w:rFonts w:cs="Arial"/>
        </w:rPr>
        <w:t>°</w:t>
      </w:r>
      <w:r>
        <w:t xml:space="preserve">C, 25 </w:t>
      </w:r>
      <w:r>
        <w:rPr>
          <w:rFonts w:cs="Arial"/>
        </w:rPr>
        <w:t>°</w:t>
      </w:r>
      <w:r>
        <w:t xml:space="preserve">C and 37 </w:t>
      </w:r>
      <w:r>
        <w:rPr>
          <w:rFonts w:cs="Arial"/>
        </w:rPr>
        <w:t>°</w:t>
      </w:r>
      <w:r>
        <w:t xml:space="preserve">C, optionally also at 5 </w:t>
      </w:r>
      <w:r>
        <w:rPr>
          <w:rFonts w:cs="Arial"/>
        </w:rPr>
        <w:t>°</w:t>
      </w:r>
      <w:r>
        <w:t xml:space="preserve">C and 50 </w:t>
      </w:r>
      <w:r>
        <w:rPr>
          <w:rFonts w:cs="Arial"/>
        </w:rPr>
        <w:t>°</w:t>
      </w:r>
      <w:r>
        <w:t xml:space="preserve">C. PTB will coordinate the study. Participants are expected to prepare the saturated </w:t>
      </w:r>
      <w:proofErr w:type="gramStart"/>
      <w:r>
        <w:t>Ca(</w:t>
      </w:r>
      <w:proofErr w:type="gramEnd"/>
      <w:r>
        <w:t>OH)</w:t>
      </w:r>
      <w:r>
        <w:rPr>
          <w:rFonts w:ascii="Cambria Math" w:hAnsi="Cambria Math" w:cs="Cambria Math"/>
        </w:rPr>
        <w:t>₂</w:t>
      </w:r>
      <w:r>
        <w:t xml:space="preserve"> solution themselves, following a detailed preparation protocol that will be circulated for comments before the official invitation is sent out. The intended schedule foresees invitations by the end of November 2025, registration until </w:t>
      </w:r>
      <w:r w:rsidR="00BD0263">
        <w:t>March</w:t>
      </w:r>
      <w:r>
        <w:t xml:space="preserve"> 2026, and sample preparation and shipment in spring 2026. M. </w:t>
      </w:r>
      <w:proofErr w:type="spellStart"/>
      <w:r>
        <w:t>Mariassy</w:t>
      </w:r>
      <w:proofErr w:type="spellEnd"/>
      <w:r>
        <w:t xml:space="preserve"> pointed out the temperature-dependent solubility and CO</w:t>
      </w:r>
      <w:r>
        <w:rPr>
          <w:rFonts w:ascii="Cambria Math" w:hAnsi="Cambria Math" w:cs="Cambria Math"/>
        </w:rPr>
        <w:t>₂</w:t>
      </w:r>
      <w:r>
        <w:t>-sensitivity of the buffer</w:t>
      </w:r>
      <w:r w:rsidR="00577208" w:rsidRPr="00E36571">
        <w:rPr>
          <w:lang w:val="en-US"/>
        </w:rPr>
        <w:t>.</w:t>
      </w:r>
    </w:p>
    <w:p w14:paraId="5FBE2550" w14:textId="517DA246" w:rsidR="0069367E" w:rsidRDefault="0069367E" w:rsidP="0069367E">
      <w:pPr>
        <w:pStyle w:val="berschrift2"/>
        <w:rPr>
          <w:lang w:val="en-US"/>
        </w:rPr>
      </w:pPr>
      <w:r>
        <w:t>KC on EDTA</w:t>
      </w:r>
    </w:p>
    <w:p w14:paraId="5B72784A" w14:textId="4E542A1C" w:rsidR="0069367E" w:rsidRDefault="0069367E" w:rsidP="0069367E">
      <w:r w:rsidRPr="0069367E">
        <w:rPr>
          <w:snapToGrid/>
        </w:rPr>
        <w:t xml:space="preserve">S. Seitz presented, on behalf of K. </w:t>
      </w:r>
      <w:r>
        <w:t>Jo</w:t>
      </w:r>
      <w:r w:rsidRPr="0069367E">
        <w:rPr>
          <w:snapToGrid/>
        </w:rPr>
        <w:t xml:space="preserve"> (KRISS), the plan for a new key comparison on the determination of the amount content (mass fraction) of complexing agents, expressed as EDTA. The </w:t>
      </w:r>
      <w:r>
        <w:t xml:space="preserve">comparison </w:t>
      </w:r>
      <w:r w:rsidRPr="0069367E">
        <w:rPr>
          <w:snapToGrid/>
        </w:rPr>
        <w:t xml:space="preserve">follows the earlier pilot study P112 (2009), which had demonstrated general feasibility but revealed large uncertainties and irregular titration curves in the presence of impurities such as metallic ions or EDTA analogues. When correctly performed, results from coulometry and </w:t>
      </w:r>
      <w:proofErr w:type="spellStart"/>
      <w:r w:rsidRPr="0069367E">
        <w:rPr>
          <w:snapToGrid/>
        </w:rPr>
        <w:t>titrimetry</w:t>
      </w:r>
      <w:proofErr w:type="spellEnd"/>
      <w:r w:rsidRPr="0069367E">
        <w:rPr>
          <w:snapToGrid/>
        </w:rPr>
        <w:t xml:space="preserve"> had shown good agreement, and no systematic differences between pH 5 and 9 titrations were observed.</w:t>
      </w:r>
      <w:r>
        <w:t xml:space="preserve"> </w:t>
      </w:r>
      <w:r w:rsidRPr="0069367E">
        <w:rPr>
          <w:snapToGrid/>
        </w:rPr>
        <w:t xml:space="preserve">The upcoming key comparison will use high-purity EDTA as the sample material. Both coulometric and titrimetric methods will be accepted. </w:t>
      </w:r>
      <w:r>
        <w:t xml:space="preserve">KRISS will coordinate the KC. </w:t>
      </w:r>
      <w:r w:rsidRPr="0069367E">
        <w:rPr>
          <w:snapToGrid/>
        </w:rPr>
        <w:t>The preliminary schedule foresees invitations in May 2026, registration by the end of June 2026, shipment of samples in October 2026, and submission of results by January 2027. Discussion of first results is expected for spring 2027, followed by Draft A in autumn</w:t>
      </w:r>
      <w:r>
        <w:t xml:space="preserve">. </w:t>
      </w:r>
      <w:r>
        <w:rPr>
          <w:lang w:val="en-US"/>
        </w:rPr>
        <w:t>T</w:t>
      </w:r>
      <w:r w:rsidRPr="00E36571">
        <w:rPr>
          <w:lang w:val="en-US"/>
        </w:rPr>
        <w:t>he presentation is available on the EAWG section of the BIPM website.</w:t>
      </w:r>
    </w:p>
    <w:p w14:paraId="7E7CA8D1" w14:textId="093AAA77" w:rsidR="00A76E7C" w:rsidRPr="00577208" w:rsidRDefault="001605CF" w:rsidP="00A76E7C">
      <w:pPr>
        <w:pStyle w:val="berschrift2"/>
      </w:pPr>
      <w:r w:rsidRPr="00577208">
        <w:t xml:space="preserve">Joint </w:t>
      </w:r>
      <w:r w:rsidR="008F1FA6" w:rsidRPr="00577208">
        <w:t xml:space="preserve">KC on water </w:t>
      </w:r>
      <w:r w:rsidR="00AC5850" w:rsidRPr="00577208">
        <w:t xml:space="preserve">mass fraction </w:t>
      </w:r>
      <w:r w:rsidR="008F1FA6" w:rsidRPr="00577208">
        <w:t xml:space="preserve">in </w:t>
      </w:r>
      <w:proofErr w:type="spellStart"/>
      <w:r w:rsidR="00AC5850" w:rsidRPr="00577208">
        <w:t>crystallohydrates</w:t>
      </w:r>
      <w:proofErr w:type="spellEnd"/>
    </w:p>
    <w:p w14:paraId="79226CF4" w14:textId="38D22E1F" w:rsidR="00217796" w:rsidRDefault="00EF281C" w:rsidP="00925DDD">
      <w:r w:rsidRPr="00EF281C">
        <w:rPr>
          <w:lang w:val="en-US"/>
        </w:rPr>
        <w:t xml:space="preserve">M. </w:t>
      </w:r>
      <w:proofErr w:type="spellStart"/>
      <w:r w:rsidRPr="00EF281C">
        <w:rPr>
          <w:lang w:val="en-US"/>
        </w:rPr>
        <w:t>Krasheninina</w:t>
      </w:r>
      <w:proofErr w:type="spellEnd"/>
      <w:r w:rsidRPr="00EF281C">
        <w:rPr>
          <w:lang w:val="en-US"/>
        </w:rPr>
        <w:t xml:space="preserve"> (VNIIM-UNIIM) presented the </w:t>
      </w:r>
      <w:proofErr w:type="gramStart"/>
      <w:r w:rsidRPr="00EF281C">
        <w:rPr>
          <w:lang w:val="en-US"/>
        </w:rPr>
        <w:t>current status</w:t>
      </w:r>
      <w:proofErr w:type="gramEnd"/>
      <w:r w:rsidRPr="00EF281C">
        <w:rPr>
          <w:lang w:val="en-US"/>
        </w:rPr>
        <w:t xml:space="preserve"> of the key comparison K194 together with the pilot study P251 on the measurement of water mass fractions in crystalline hydrates. The comparison aims at determining water content in calcium oxalate monohydrate, sodium molybdate dihydrate, and lactose monohydrate — compounds chosen for their thermal stability and suitability as potential certified reference materials.</w:t>
      </w:r>
      <w:r>
        <w:rPr>
          <w:lang w:val="en-US"/>
        </w:rPr>
        <w:t xml:space="preserve"> </w:t>
      </w:r>
      <w:r w:rsidRPr="00EF281C">
        <w:rPr>
          <w:lang w:val="en-US"/>
        </w:rPr>
        <w:t xml:space="preserve">She explained that these materials exhibit a single, well-defined mass-loss step upon heating, corresponding exclusively to water release, which allows accurate quantification via thermogravimetry with mass-spectrometric detection. Complementary methods such as </w:t>
      </w:r>
      <w:r>
        <w:rPr>
          <w:lang w:val="en-US"/>
        </w:rPr>
        <w:t>air-</w:t>
      </w:r>
      <w:r w:rsidRPr="00EF281C">
        <w:rPr>
          <w:lang w:val="en-US"/>
        </w:rPr>
        <w:t>thermal drying, Karl Fischer titration</w:t>
      </w:r>
      <w:r>
        <w:rPr>
          <w:lang w:val="en-US"/>
        </w:rPr>
        <w:t xml:space="preserve"> or</w:t>
      </w:r>
      <w:r w:rsidRPr="00EF281C">
        <w:rPr>
          <w:lang w:val="en-US"/>
        </w:rPr>
        <w:t xml:space="preserve"> </w:t>
      </w:r>
      <w:r>
        <w:rPr>
          <w:lang w:val="en-US"/>
        </w:rPr>
        <w:t xml:space="preserve">high-temperature </w:t>
      </w:r>
      <w:r w:rsidRPr="00EF281C">
        <w:rPr>
          <w:lang w:val="en-US"/>
        </w:rPr>
        <w:t>coulometry</w:t>
      </w:r>
      <w:r>
        <w:rPr>
          <w:lang w:val="en-US"/>
        </w:rPr>
        <w:t xml:space="preserve"> </w:t>
      </w:r>
      <w:r w:rsidRPr="00EF281C">
        <w:rPr>
          <w:lang w:val="en-US"/>
        </w:rPr>
        <w:t>may also be applied.</w:t>
      </w:r>
      <w:r>
        <w:rPr>
          <w:lang w:val="en-US"/>
        </w:rPr>
        <w:t xml:space="preserve"> </w:t>
      </w:r>
      <w:r w:rsidRPr="00EF281C">
        <w:rPr>
          <w:lang w:val="en-US"/>
        </w:rPr>
        <w:t xml:space="preserve">VNIIM has prepared and </w:t>
      </w:r>
      <w:proofErr w:type="spellStart"/>
      <w:r w:rsidRPr="00EF281C">
        <w:rPr>
          <w:lang w:val="en-US"/>
        </w:rPr>
        <w:t>characterised</w:t>
      </w:r>
      <w:proofErr w:type="spellEnd"/>
      <w:r w:rsidRPr="00EF281C">
        <w:rPr>
          <w:lang w:val="en-US"/>
        </w:rPr>
        <w:t xml:space="preserve"> the samples, including homogeneity and stability testing, and packaged them as reference materials. NIM (China) serves as co-pilot and has received the samples for redistribution to participants, expected by November 2025.</w:t>
      </w:r>
      <w:r>
        <w:rPr>
          <w:lang w:val="en-US"/>
        </w:rPr>
        <w:t xml:space="preserve"> </w:t>
      </w:r>
      <w:r w:rsidRPr="00EF281C">
        <w:rPr>
          <w:lang w:val="en-US"/>
        </w:rPr>
        <w:t xml:space="preserve">The comparison, </w:t>
      </w:r>
      <w:proofErr w:type="spellStart"/>
      <w:r w:rsidRPr="00EF281C">
        <w:rPr>
          <w:lang w:val="en-US"/>
        </w:rPr>
        <w:t>organised</w:t>
      </w:r>
      <w:proofErr w:type="spellEnd"/>
      <w:r w:rsidRPr="00EF281C">
        <w:rPr>
          <w:lang w:val="en-US"/>
        </w:rPr>
        <w:t xml:space="preserve"> jointly under IAWG with participation of EAWG and OAWG, is progressing as planned; </w:t>
      </w:r>
      <w:r>
        <w:rPr>
          <w:lang w:val="en-US"/>
        </w:rPr>
        <w:t xml:space="preserve">deadline for submitting the measurement report is February </w:t>
      </w:r>
      <w:r w:rsidRPr="00EF281C">
        <w:rPr>
          <w:lang w:val="en-US"/>
        </w:rPr>
        <w:t>202</w:t>
      </w:r>
      <w:r>
        <w:rPr>
          <w:lang w:val="en-US"/>
        </w:rPr>
        <w:t>9</w:t>
      </w:r>
      <w:r w:rsidRPr="00EF281C">
        <w:rPr>
          <w:lang w:val="en-US"/>
        </w:rPr>
        <w:t>.</w:t>
      </w:r>
      <w:r w:rsidR="00577208">
        <w:rPr>
          <w:lang w:val="en-US"/>
        </w:rPr>
        <w:t xml:space="preserve"> T</w:t>
      </w:r>
      <w:r w:rsidR="00577208" w:rsidRPr="00E36571">
        <w:rPr>
          <w:lang w:val="en-US"/>
        </w:rPr>
        <w:t>he presentation is available on the EAWG section of the BIPM website.</w:t>
      </w:r>
      <w:r w:rsidR="009405BF">
        <w:t xml:space="preserve"> </w:t>
      </w:r>
    </w:p>
    <w:p w14:paraId="0EA51E69" w14:textId="77777777" w:rsidR="002B5C1A" w:rsidRDefault="002B5C1A" w:rsidP="00925DDD"/>
    <w:p w14:paraId="679A75E9" w14:textId="77777777" w:rsidR="002B5C1A" w:rsidRDefault="002B5C1A" w:rsidP="002B5C1A">
      <w:pPr>
        <w:pStyle w:val="berschrift1"/>
      </w:pPr>
      <w:r>
        <w:t xml:space="preserve">Upcoming comparisons </w:t>
      </w:r>
    </w:p>
    <w:p w14:paraId="2BAA6C4C" w14:textId="77777777" w:rsidR="002B5C1A" w:rsidRDefault="002B5C1A" w:rsidP="002B5C1A">
      <w:pPr>
        <w:pStyle w:val="berschrift2"/>
      </w:pPr>
      <w:r>
        <w:t xml:space="preserve">KC on the </w:t>
      </w:r>
      <w:proofErr w:type="spellStart"/>
      <w:r>
        <w:t>pH</w:t>
      </w:r>
      <w:r w:rsidRPr="006174CD">
        <w:rPr>
          <w:vertAlign w:val="subscript"/>
        </w:rPr>
        <w:t>T</w:t>
      </w:r>
      <w:proofErr w:type="spellEnd"/>
      <w:r>
        <w:t xml:space="preserve"> of </w:t>
      </w:r>
      <w:proofErr w:type="gramStart"/>
      <w:r>
        <w:t>a</w:t>
      </w:r>
      <w:proofErr w:type="gramEnd"/>
      <w:r>
        <w:t xml:space="preserve"> ASW/TRIS buffer</w:t>
      </w:r>
    </w:p>
    <w:p w14:paraId="440974BA" w14:textId="1566ED1C" w:rsidR="002B5C1A" w:rsidRDefault="002B5C1A" w:rsidP="002B5C1A">
      <w:r>
        <w:t>The participants of the pilot study P221 had agreed to start the KC in 2024.</w:t>
      </w:r>
      <w:r w:rsidR="00077608">
        <w:t xml:space="preserve"> D</w:t>
      </w:r>
      <w:r>
        <w:t xml:space="preserve">ue to the pending release of the Report of P221, it </w:t>
      </w:r>
      <w:r w:rsidR="00077608">
        <w:t>wa</w:t>
      </w:r>
      <w:r>
        <w:t xml:space="preserve">s difficult to write a Technical Protocol that considers lessons learnt from the pilot study. </w:t>
      </w:r>
      <w:r w:rsidR="00077608">
        <w:t xml:space="preserve">This has been completed in the meanwhile. </w:t>
      </w:r>
      <w:r>
        <w:t>Coordination and schedule will be discussed at the spring meeting 202</w:t>
      </w:r>
      <w:r w:rsidR="00077608">
        <w:t>6</w:t>
      </w:r>
      <w:r>
        <w:t>.</w:t>
      </w:r>
    </w:p>
    <w:p w14:paraId="39CFEA99" w14:textId="77777777" w:rsidR="002B5C1A" w:rsidRDefault="002B5C1A" w:rsidP="002B5C1A">
      <w:pPr>
        <w:pStyle w:val="berschrift2"/>
      </w:pPr>
      <w:r>
        <w:lastRenderedPageBreak/>
        <w:t>K48.xxxx on an assay of KCl or NaCl</w:t>
      </w:r>
    </w:p>
    <w:p w14:paraId="64673AF8" w14:textId="7867C00D" w:rsidR="002B5C1A" w:rsidRDefault="002B5C1A" w:rsidP="002B5C1A">
      <w:r>
        <w:t>A follow-up of K48 on an assay of KCl or NaCl will presumably be conducted after the KC on EDTA has been completed in 2027. The salts are representatives to demonstrate the capability to measure the amount content of precipitating ions by direct coulometry. Corresponding CRMs are very important. The KC is needed to keep up supporting evidence for respective CMCs.</w:t>
      </w:r>
    </w:p>
    <w:p w14:paraId="77C097B4" w14:textId="42A67AAA" w:rsidR="002B5C1A" w:rsidRDefault="002B5C1A" w:rsidP="002B5C1A">
      <w:pPr>
        <w:pStyle w:val="berschrift2"/>
      </w:pPr>
      <w:proofErr w:type="spellStart"/>
      <w:r>
        <w:t>Kxx</w:t>
      </w:r>
      <w:proofErr w:type="spellEnd"/>
      <w:r>
        <w:t xml:space="preserve"> on the conductivity of a KCl solution at 0.05 S/m and 5 S/m</w:t>
      </w:r>
    </w:p>
    <w:p w14:paraId="69F05E59" w14:textId="108127A6" w:rsidR="002B5C1A" w:rsidRDefault="002B5C1A" w:rsidP="002B5C1A">
      <w:r>
        <w:t xml:space="preserve">This comparison is a follow-up comparison </w:t>
      </w:r>
      <w:r w:rsidR="00B72C05">
        <w:t xml:space="preserve">combining </w:t>
      </w:r>
      <w:r>
        <w:t xml:space="preserve">K105 and K92. The EAWG CMC guidelines request regular repeat of conductivity KCs </w:t>
      </w:r>
      <w:r w:rsidR="00B72C05">
        <w:t xml:space="preserve">in various ranges </w:t>
      </w:r>
      <w:r>
        <w:t>to cover the relevant conductivity range in water from 0.05 µS/cm up to 20 S/m</w:t>
      </w:r>
      <w:r w:rsidR="00B72C05">
        <w:t>. These KC are needed as support for CMCs and CRM-CMCs, since many NMIs supply industry with respective services.</w:t>
      </w:r>
    </w:p>
    <w:p w14:paraId="6CC96351" w14:textId="77777777" w:rsidR="002B5C1A" w:rsidRDefault="002B5C1A" w:rsidP="00925DDD"/>
    <w:p w14:paraId="633A196E" w14:textId="77777777" w:rsidR="00CD3E91" w:rsidRDefault="00CD3E91" w:rsidP="00925DDD">
      <w:pPr>
        <w:sectPr w:rsidR="00CD3E91" w:rsidSect="009F38ED">
          <w:headerReference w:type="default" r:id="rId9"/>
          <w:footerReference w:type="default" r:id="rId10"/>
          <w:headerReference w:type="first" r:id="rId11"/>
          <w:pgSz w:w="11906" w:h="16838"/>
          <w:pgMar w:top="1135" w:right="1274" w:bottom="1276" w:left="1134" w:header="720" w:footer="720" w:gutter="0"/>
          <w:cols w:space="720"/>
          <w:titlePg/>
          <w:docGrid w:linePitch="299"/>
        </w:sectPr>
      </w:pPr>
    </w:p>
    <w:p w14:paraId="019FC745" w14:textId="77777777" w:rsidR="00307DCA" w:rsidRDefault="00307DCA" w:rsidP="005A60C2">
      <w:pPr>
        <w:pStyle w:val="berschrift1"/>
      </w:pPr>
      <w:r w:rsidRPr="004A5C59">
        <w:lastRenderedPageBreak/>
        <w:t>Work programme</w:t>
      </w:r>
    </w:p>
    <w:p w14:paraId="62EB184D" w14:textId="72D4978D" w:rsidR="00217796" w:rsidRPr="00217796" w:rsidRDefault="00200AF3" w:rsidP="00200AF3">
      <w:pPr>
        <w:pStyle w:val="berschrift2"/>
      </w:pPr>
      <w:r>
        <w:t>Overview</w:t>
      </w:r>
      <w:r w:rsidR="00532F2B">
        <w:t xml:space="preserve"> </w:t>
      </w:r>
      <w:r w:rsidR="00D04339">
        <w:t xml:space="preserve">on </w:t>
      </w:r>
      <w:r w:rsidR="00532F2B">
        <w:t>workplan 2024-2026</w:t>
      </w:r>
    </w:p>
    <w:tbl>
      <w:tblPr>
        <w:tblW w:w="11220" w:type="dxa"/>
        <w:tblLook w:val="04A0" w:firstRow="1" w:lastRow="0" w:firstColumn="1" w:lastColumn="0" w:noHBand="0" w:noVBand="1"/>
      </w:tblPr>
      <w:tblGrid>
        <w:gridCol w:w="1006"/>
        <w:gridCol w:w="1574"/>
        <w:gridCol w:w="1547"/>
        <w:gridCol w:w="1574"/>
        <w:gridCol w:w="1444"/>
        <w:gridCol w:w="1394"/>
        <w:gridCol w:w="1515"/>
        <w:gridCol w:w="1166"/>
      </w:tblGrid>
      <w:tr w:rsidR="008B4187" w:rsidRPr="004D408E" w14:paraId="19E20906" w14:textId="77777777" w:rsidTr="00521352">
        <w:trPr>
          <w:trHeight w:val="315"/>
        </w:trPr>
        <w:tc>
          <w:tcPr>
            <w:tcW w:w="10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F2708" w14:textId="4E12BC13" w:rsidR="004D408E" w:rsidRPr="004D408E" w:rsidRDefault="004D408E" w:rsidP="004D408E">
            <w:pPr>
              <w:widowControl/>
              <w:tabs>
                <w:tab w:val="clear" w:pos="7088"/>
              </w:tabs>
              <w:spacing w:after="0"/>
              <w:ind w:left="0"/>
              <w:jc w:val="center"/>
              <w:rPr>
                <w:rFonts w:ascii="Calibri" w:hAnsi="Calibri" w:cs="Calibri"/>
                <w:snapToGrid/>
                <w:color w:val="000000"/>
                <w:szCs w:val="22"/>
                <w:lang w:val="en-US" w:eastAsia="en-US"/>
              </w:rPr>
            </w:pPr>
          </w:p>
        </w:tc>
        <w:tc>
          <w:tcPr>
            <w:tcW w:w="3121" w:type="dxa"/>
            <w:gridSpan w:val="2"/>
            <w:tcBorders>
              <w:top w:val="single" w:sz="4" w:space="0" w:color="auto"/>
              <w:left w:val="nil"/>
              <w:bottom w:val="single" w:sz="4" w:space="0" w:color="auto"/>
              <w:right w:val="single" w:sz="4" w:space="0" w:color="auto"/>
            </w:tcBorders>
            <w:shd w:val="clear" w:color="000000" w:fill="FFF2CC"/>
            <w:vAlign w:val="center"/>
            <w:hideMark/>
          </w:tcPr>
          <w:p w14:paraId="4D895DF5" w14:textId="77777777" w:rsidR="004D408E" w:rsidRPr="004D408E" w:rsidRDefault="004D408E" w:rsidP="004D408E">
            <w:pPr>
              <w:widowControl/>
              <w:tabs>
                <w:tab w:val="clear" w:pos="7088"/>
              </w:tabs>
              <w:spacing w:after="0"/>
              <w:ind w:left="0"/>
              <w:jc w:val="center"/>
              <w:rPr>
                <w:rFonts w:ascii="Calibri" w:hAnsi="Calibri" w:cs="Calibri"/>
                <w:b/>
                <w:bCs/>
                <w:snapToGrid/>
                <w:color w:val="000000"/>
                <w:sz w:val="24"/>
                <w:szCs w:val="24"/>
                <w:lang w:val="en-US" w:eastAsia="en-US"/>
              </w:rPr>
            </w:pPr>
            <w:r w:rsidRPr="004D408E">
              <w:rPr>
                <w:rFonts w:ascii="Calibri" w:hAnsi="Calibri" w:cs="Calibri"/>
                <w:b/>
                <w:bCs/>
                <w:snapToGrid/>
                <w:color w:val="000000"/>
                <w:sz w:val="24"/>
                <w:szCs w:val="24"/>
                <w:lang w:val="en-US" w:eastAsia="en-US"/>
              </w:rPr>
              <w:t>pH</w:t>
            </w:r>
          </w:p>
        </w:tc>
        <w:tc>
          <w:tcPr>
            <w:tcW w:w="3018" w:type="dxa"/>
            <w:gridSpan w:val="2"/>
            <w:tcBorders>
              <w:top w:val="single" w:sz="4" w:space="0" w:color="auto"/>
              <w:left w:val="nil"/>
              <w:bottom w:val="single" w:sz="4" w:space="0" w:color="auto"/>
              <w:right w:val="single" w:sz="4" w:space="0" w:color="auto"/>
            </w:tcBorders>
            <w:shd w:val="clear" w:color="000000" w:fill="DDEBF7"/>
            <w:vAlign w:val="center"/>
            <w:hideMark/>
          </w:tcPr>
          <w:p w14:paraId="29E66A2E" w14:textId="77777777" w:rsidR="004D408E" w:rsidRPr="004D408E" w:rsidRDefault="004D408E" w:rsidP="004D408E">
            <w:pPr>
              <w:widowControl/>
              <w:tabs>
                <w:tab w:val="clear" w:pos="7088"/>
              </w:tabs>
              <w:spacing w:after="0"/>
              <w:ind w:left="0"/>
              <w:jc w:val="center"/>
              <w:rPr>
                <w:rFonts w:ascii="Calibri" w:hAnsi="Calibri" w:cs="Calibri"/>
                <w:b/>
                <w:bCs/>
                <w:snapToGrid/>
                <w:color w:val="000000"/>
                <w:sz w:val="24"/>
                <w:szCs w:val="24"/>
                <w:lang w:val="en-US" w:eastAsia="en-US"/>
              </w:rPr>
            </w:pPr>
            <w:r w:rsidRPr="004D408E">
              <w:rPr>
                <w:rFonts w:ascii="Calibri" w:hAnsi="Calibri" w:cs="Calibri"/>
                <w:b/>
                <w:bCs/>
                <w:snapToGrid/>
                <w:color w:val="000000"/>
                <w:sz w:val="24"/>
                <w:szCs w:val="24"/>
                <w:lang w:val="en-US" w:eastAsia="en-US"/>
              </w:rPr>
              <w:t>conductivity</w:t>
            </w:r>
          </w:p>
        </w:tc>
        <w:tc>
          <w:tcPr>
            <w:tcW w:w="2909" w:type="dxa"/>
            <w:gridSpan w:val="2"/>
            <w:tcBorders>
              <w:top w:val="single" w:sz="4" w:space="0" w:color="auto"/>
              <w:left w:val="nil"/>
              <w:bottom w:val="single" w:sz="4" w:space="0" w:color="auto"/>
              <w:right w:val="single" w:sz="4" w:space="0" w:color="auto"/>
            </w:tcBorders>
            <w:shd w:val="clear" w:color="000000" w:fill="FCE4D6"/>
            <w:vAlign w:val="center"/>
            <w:hideMark/>
          </w:tcPr>
          <w:p w14:paraId="078428F4" w14:textId="77777777" w:rsidR="004D408E" w:rsidRPr="004D408E" w:rsidRDefault="004D408E" w:rsidP="004D408E">
            <w:pPr>
              <w:widowControl/>
              <w:tabs>
                <w:tab w:val="clear" w:pos="7088"/>
              </w:tabs>
              <w:spacing w:after="0"/>
              <w:ind w:left="0"/>
              <w:jc w:val="center"/>
              <w:rPr>
                <w:rFonts w:ascii="Calibri" w:hAnsi="Calibri" w:cs="Calibri"/>
                <w:b/>
                <w:bCs/>
                <w:snapToGrid/>
                <w:color w:val="000000"/>
                <w:sz w:val="24"/>
                <w:szCs w:val="24"/>
                <w:lang w:val="en-US" w:eastAsia="en-US"/>
              </w:rPr>
            </w:pPr>
            <w:r w:rsidRPr="004D408E">
              <w:rPr>
                <w:rFonts w:ascii="Calibri" w:hAnsi="Calibri" w:cs="Calibri"/>
                <w:b/>
                <w:bCs/>
                <w:snapToGrid/>
                <w:color w:val="000000"/>
                <w:sz w:val="24"/>
                <w:szCs w:val="24"/>
                <w:lang w:val="en-US" w:eastAsia="en-US"/>
              </w:rPr>
              <w:t>coulometry</w:t>
            </w:r>
          </w:p>
        </w:tc>
        <w:tc>
          <w:tcPr>
            <w:tcW w:w="1166" w:type="dxa"/>
            <w:tcBorders>
              <w:top w:val="single" w:sz="4" w:space="0" w:color="auto"/>
              <w:left w:val="nil"/>
              <w:bottom w:val="single" w:sz="4" w:space="0" w:color="auto"/>
              <w:right w:val="single" w:sz="4" w:space="0" w:color="auto"/>
            </w:tcBorders>
            <w:shd w:val="clear" w:color="000000" w:fill="EDEDED"/>
            <w:vAlign w:val="center"/>
            <w:hideMark/>
          </w:tcPr>
          <w:p w14:paraId="7423BBA1" w14:textId="77777777" w:rsidR="004D408E" w:rsidRPr="004D408E" w:rsidRDefault="004D408E" w:rsidP="004D408E">
            <w:pPr>
              <w:widowControl/>
              <w:tabs>
                <w:tab w:val="clear" w:pos="7088"/>
              </w:tabs>
              <w:spacing w:after="0"/>
              <w:ind w:left="0"/>
              <w:jc w:val="center"/>
              <w:rPr>
                <w:rFonts w:ascii="Calibri" w:hAnsi="Calibri" w:cs="Calibri"/>
                <w:b/>
                <w:bCs/>
                <w:snapToGrid/>
                <w:color w:val="000000"/>
                <w:szCs w:val="22"/>
                <w:lang w:val="en-US" w:eastAsia="en-US"/>
              </w:rPr>
            </w:pPr>
            <w:r w:rsidRPr="004D408E">
              <w:rPr>
                <w:rFonts w:ascii="Calibri" w:hAnsi="Calibri" w:cs="Calibri"/>
                <w:b/>
                <w:bCs/>
                <w:snapToGrid/>
                <w:color w:val="000000"/>
                <w:szCs w:val="22"/>
                <w:lang w:val="en-US" w:eastAsia="en-US"/>
              </w:rPr>
              <w:t>pilot study</w:t>
            </w:r>
          </w:p>
        </w:tc>
      </w:tr>
      <w:tr w:rsidR="004D408E" w:rsidRPr="004D408E" w14:paraId="1E7BCB63" w14:textId="77777777" w:rsidTr="00521352">
        <w:trPr>
          <w:trHeight w:val="645"/>
        </w:trPr>
        <w:tc>
          <w:tcPr>
            <w:tcW w:w="1006" w:type="dxa"/>
            <w:tcBorders>
              <w:top w:val="nil"/>
              <w:left w:val="single" w:sz="4" w:space="0" w:color="auto"/>
              <w:bottom w:val="single" w:sz="8" w:space="0" w:color="auto"/>
              <w:right w:val="single" w:sz="4" w:space="0" w:color="auto"/>
            </w:tcBorders>
            <w:shd w:val="clear" w:color="000000" w:fill="FFFFFF"/>
            <w:vAlign w:val="center"/>
            <w:hideMark/>
          </w:tcPr>
          <w:p w14:paraId="0F80F6A3" w14:textId="77777777" w:rsidR="004D408E" w:rsidRPr="004D408E" w:rsidRDefault="004D408E" w:rsidP="004D408E">
            <w:pPr>
              <w:widowControl/>
              <w:tabs>
                <w:tab w:val="clear" w:pos="7088"/>
              </w:tabs>
              <w:spacing w:after="0"/>
              <w:ind w:left="0"/>
              <w:jc w:val="center"/>
              <w:rPr>
                <w:rFonts w:ascii="Calibri" w:hAnsi="Calibri" w:cs="Calibri"/>
                <w:b/>
                <w:bCs/>
                <w:snapToGrid/>
                <w:color w:val="000000"/>
                <w:szCs w:val="22"/>
                <w:lang w:val="en-US" w:eastAsia="en-US"/>
              </w:rPr>
            </w:pPr>
            <w:r w:rsidRPr="004D408E">
              <w:rPr>
                <w:rFonts w:ascii="Calibri" w:hAnsi="Calibri" w:cs="Calibri"/>
                <w:b/>
                <w:bCs/>
                <w:snapToGrid/>
                <w:color w:val="000000"/>
                <w:szCs w:val="22"/>
                <w:lang w:val="en-US" w:eastAsia="en-US"/>
              </w:rPr>
              <w:t>year</w:t>
            </w:r>
          </w:p>
        </w:tc>
        <w:tc>
          <w:tcPr>
            <w:tcW w:w="1574" w:type="dxa"/>
            <w:tcBorders>
              <w:top w:val="nil"/>
              <w:left w:val="nil"/>
              <w:bottom w:val="single" w:sz="8" w:space="0" w:color="auto"/>
              <w:right w:val="single" w:sz="4" w:space="0" w:color="auto"/>
            </w:tcBorders>
            <w:shd w:val="clear" w:color="000000" w:fill="FFF2CC"/>
            <w:vAlign w:val="center"/>
            <w:hideMark/>
          </w:tcPr>
          <w:p w14:paraId="61827B51" w14:textId="77777777" w:rsidR="004D408E" w:rsidRPr="004D408E" w:rsidRDefault="004D408E" w:rsidP="004D408E">
            <w:pPr>
              <w:widowControl/>
              <w:tabs>
                <w:tab w:val="clear" w:pos="7088"/>
              </w:tabs>
              <w:spacing w:after="0"/>
              <w:ind w:left="0"/>
              <w:jc w:val="center"/>
              <w:rPr>
                <w:rFonts w:ascii="Calibri" w:hAnsi="Calibri" w:cs="Calibri"/>
                <w:b/>
                <w:bCs/>
                <w:snapToGrid/>
                <w:color w:val="000000"/>
                <w:sz w:val="24"/>
                <w:szCs w:val="24"/>
                <w:lang w:val="en-US" w:eastAsia="en-US"/>
              </w:rPr>
            </w:pPr>
            <w:r w:rsidRPr="004D408E">
              <w:rPr>
                <w:rFonts w:ascii="Calibri" w:hAnsi="Calibri" w:cs="Calibri"/>
                <w:b/>
                <w:bCs/>
                <w:snapToGrid/>
                <w:color w:val="000000"/>
                <w:sz w:val="24"/>
                <w:szCs w:val="24"/>
                <w:lang w:val="en-US" w:eastAsia="en-US"/>
              </w:rPr>
              <w:t>KC-ID</w:t>
            </w:r>
          </w:p>
        </w:tc>
        <w:tc>
          <w:tcPr>
            <w:tcW w:w="1547" w:type="dxa"/>
            <w:tcBorders>
              <w:top w:val="nil"/>
              <w:left w:val="nil"/>
              <w:bottom w:val="single" w:sz="8" w:space="0" w:color="auto"/>
              <w:right w:val="single" w:sz="4" w:space="0" w:color="auto"/>
            </w:tcBorders>
            <w:shd w:val="clear" w:color="000000" w:fill="FFF2CC"/>
            <w:vAlign w:val="center"/>
            <w:hideMark/>
          </w:tcPr>
          <w:p w14:paraId="65C1C3CA" w14:textId="77777777" w:rsidR="004D408E" w:rsidRPr="004D408E" w:rsidRDefault="004D408E" w:rsidP="004D408E">
            <w:pPr>
              <w:widowControl/>
              <w:tabs>
                <w:tab w:val="clear" w:pos="7088"/>
              </w:tabs>
              <w:spacing w:after="0"/>
              <w:ind w:left="0"/>
              <w:jc w:val="center"/>
              <w:rPr>
                <w:rFonts w:ascii="Calibri" w:hAnsi="Calibri" w:cs="Calibri"/>
                <w:b/>
                <w:bCs/>
                <w:snapToGrid/>
                <w:color w:val="000000"/>
                <w:sz w:val="24"/>
                <w:szCs w:val="24"/>
                <w:lang w:val="en-US" w:eastAsia="en-US"/>
              </w:rPr>
            </w:pPr>
            <w:r w:rsidRPr="004D408E">
              <w:rPr>
                <w:rFonts w:ascii="Calibri" w:hAnsi="Calibri" w:cs="Calibri"/>
                <w:b/>
                <w:bCs/>
                <w:snapToGrid/>
                <w:color w:val="000000"/>
                <w:sz w:val="24"/>
                <w:szCs w:val="24"/>
                <w:lang w:val="en-US" w:eastAsia="en-US"/>
              </w:rPr>
              <w:t>buffer</w:t>
            </w:r>
          </w:p>
        </w:tc>
        <w:tc>
          <w:tcPr>
            <w:tcW w:w="1574" w:type="dxa"/>
            <w:tcBorders>
              <w:top w:val="nil"/>
              <w:left w:val="nil"/>
              <w:bottom w:val="single" w:sz="8" w:space="0" w:color="auto"/>
              <w:right w:val="single" w:sz="4" w:space="0" w:color="auto"/>
            </w:tcBorders>
            <w:shd w:val="clear" w:color="000000" w:fill="DDEBF7"/>
            <w:vAlign w:val="center"/>
            <w:hideMark/>
          </w:tcPr>
          <w:p w14:paraId="558115C4" w14:textId="77777777" w:rsidR="004D408E" w:rsidRPr="004D408E" w:rsidRDefault="004D408E" w:rsidP="004D408E">
            <w:pPr>
              <w:widowControl/>
              <w:tabs>
                <w:tab w:val="clear" w:pos="7088"/>
              </w:tabs>
              <w:spacing w:after="0"/>
              <w:ind w:left="0"/>
              <w:jc w:val="center"/>
              <w:rPr>
                <w:rFonts w:ascii="Calibri" w:hAnsi="Calibri" w:cs="Calibri"/>
                <w:b/>
                <w:bCs/>
                <w:snapToGrid/>
                <w:color w:val="000000"/>
                <w:sz w:val="24"/>
                <w:szCs w:val="24"/>
                <w:lang w:val="en-US" w:eastAsia="en-US"/>
              </w:rPr>
            </w:pPr>
            <w:r w:rsidRPr="004D408E">
              <w:rPr>
                <w:rFonts w:ascii="Calibri" w:hAnsi="Calibri" w:cs="Calibri"/>
                <w:b/>
                <w:bCs/>
                <w:snapToGrid/>
                <w:color w:val="000000"/>
                <w:sz w:val="24"/>
                <w:szCs w:val="24"/>
                <w:lang w:val="en-US" w:eastAsia="en-US"/>
              </w:rPr>
              <w:t>KC-ID</w:t>
            </w:r>
          </w:p>
        </w:tc>
        <w:tc>
          <w:tcPr>
            <w:tcW w:w="1444" w:type="dxa"/>
            <w:tcBorders>
              <w:top w:val="nil"/>
              <w:left w:val="nil"/>
              <w:bottom w:val="single" w:sz="8" w:space="0" w:color="auto"/>
              <w:right w:val="single" w:sz="4" w:space="0" w:color="auto"/>
            </w:tcBorders>
            <w:shd w:val="clear" w:color="000000" w:fill="DDEBF7"/>
            <w:vAlign w:val="center"/>
            <w:hideMark/>
          </w:tcPr>
          <w:p w14:paraId="542CE3EF" w14:textId="77777777" w:rsidR="004D408E" w:rsidRPr="004D408E" w:rsidRDefault="004D408E" w:rsidP="004D408E">
            <w:pPr>
              <w:widowControl/>
              <w:tabs>
                <w:tab w:val="clear" w:pos="7088"/>
              </w:tabs>
              <w:spacing w:after="0"/>
              <w:ind w:left="0"/>
              <w:jc w:val="center"/>
              <w:rPr>
                <w:rFonts w:ascii="Calibri" w:hAnsi="Calibri" w:cs="Calibri"/>
                <w:b/>
                <w:bCs/>
                <w:snapToGrid/>
                <w:color w:val="000000"/>
                <w:sz w:val="24"/>
                <w:szCs w:val="24"/>
                <w:lang w:val="en-US" w:eastAsia="en-US"/>
              </w:rPr>
            </w:pPr>
            <w:r w:rsidRPr="004D408E">
              <w:rPr>
                <w:rFonts w:ascii="Calibri" w:hAnsi="Calibri" w:cs="Calibri"/>
                <w:b/>
                <w:bCs/>
                <w:snapToGrid/>
                <w:color w:val="000000"/>
                <w:sz w:val="24"/>
                <w:szCs w:val="24"/>
                <w:lang w:val="en-US" w:eastAsia="en-US"/>
              </w:rPr>
              <w:t>value</w:t>
            </w:r>
            <w:r w:rsidRPr="004D408E">
              <w:rPr>
                <w:rFonts w:ascii="Calibri" w:hAnsi="Calibri" w:cs="Calibri"/>
                <w:b/>
                <w:bCs/>
                <w:snapToGrid/>
                <w:color w:val="000000"/>
                <w:sz w:val="24"/>
                <w:szCs w:val="24"/>
                <w:lang w:val="en-US" w:eastAsia="en-US"/>
              </w:rPr>
              <w:br/>
              <w:t>(solution)</w:t>
            </w:r>
          </w:p>
        </w:tc>
        <w:tc>
          <w:tcPr>
            <w:tcW w:w="1394" w:type="dxa"/>
            <w:tcBorders>
              <w:top w:val="nil"/>
              <w:left w:val="nil"/>
              <w:bottom w:val="single" w:sz="8" w:space="0" w:color="auto"/>
              <w:right w:val="single" w:sz="4" w:space="0" w:color="auto"/>
            </w:tcBorders>
            <w:shd w:val="clear" w:color="000000" w:fill="FCE4D6"/>
            <w:vAlign w:val="center"/>
            <w:hideMark/>
          </w:tcPr>
          <w:p w14:paraId="59311899" w14:textId="77777777" w:rsidR="004D408E" w:rsidRPr="004D408E" w:rsidRDefault="004D408E" w:rsidP="004D408E">
            <w:pPr>
              <w:widowControl/>
              <w:tabs>
                <w:tab w:val="clear" w:pos="7088"/>
              </w:tabs>
              <w:spacing w:after="0"/>
              <w:ind w:left="0"/>
              <w:jc w:val="center"/>
              <w:rPr>
                <w:rFonts w:ascii="Calibri" w:hAnsi="Calibri" w:cs="Calibri"/>
                <w:b/>
                <w:bCs/>
                <w:snapToGrid/>
                <w:color w:val="000000"/>
                <w:sz w:val="24"/>
                <w:szCs w:val="24"/>
                <w:lang w:val="en-US" w:eastAsia="en-US"/>
              </w:rPr>
            </w:pPr>
            <w:r w:rsidRPr="004D408E">
              <w:rPr>
                <w:rFonts w:ascii="Calibri" w:hAnsi="Calibri" w:cs="Calibri"/>
                <w:b/>
                <w:bCs/>
                <w:snapToGrid/>
                <w:color w:val="000000"/>
                <w:sz w:val="24"/>
                <w:szCs w:val="24"/>
                <w:lang w:val="en-US" w:eastAsia="en-US"/>
              </w:rPr>
              <w:t>KC-ID</w:t>
            </w:r>
          </w:p>
        </w:tc>
        <w:tc>
          <w:tcPr>
            <w:tcW w:w="1515" w:type="dxa"/>
            <w:tcBorders>
              <w:top w:val="nil"/>
              <w:left w:val="nil"/>
              <w:bottom w:val="single" w:sz="8" w:space="0" w:color="auto"/>
              <w:right w:val="single" w:sz="4" w:space="0" w:color="auto"/>
            </w:tcBorders>
            <w:shd w:val="clear" w:color="000000" w:fill="FCE4D6"/>
            <w:vAlign w:val="center"/>
            <w:hideMark/>
          </w:tcPr>
          <w:p w14:paraId="4B897814" w14:textId="77777777" w:rsidR="004D408E" w:rsidRPr="004D408E" w:rsidRDefault="004D408E" w:rsidP="004D408E">
            <w:pPr>
              <w:widowControl/>
              <w:tabs>
                <w:tab w:val="clear" w:pos="7088"/>
              </w:tabs>
              <w:spacing w:after="0"/>
              <w:ind w:left="0"/>
              <w:jc w:val="center"/>
              <w:rPr>
                <w:rFonts w:ascii="Calibri" w:hAnsi="Calibri" w:cs="Calibri"/>
                <w:b/>
                <w:bCs/>
                <w:snapToGrid/>
                <w:color w:val="000000"/>
                <w:sz w:val="24"/>
                <w:szCs w:val="24"/>
                <w:lang w:val="en-US" w:eastAsia="en-US"/>
              </w:rPr>
            </w:pPr>
            <w:r w:rsidRPr="004D408E">
              <w:rPr>
                <w:rFonts w:ascii="Calibri" w:hAnsi="Calibri" w:cs="Calibri"/>
                <w:b/>
                <w:bCs/>
                <w:snapToGrid/>
                <w:color w:val="000000"/>
                <w:sz w:val="24"/>
                <w:szCs w:val="24"/>
                <w:lang w:val="en-US" w:eastAsia="en-US"/>
              </w:rPr>
              <w:t>assay</w:t>
            </w:r>
          </w:p>
        </w:tc>
        <w:tc>
          <w:tcPr>
            <w:tcW w:w="1166" w:type="dxa"/>
            <w:tcBorders>
              <w:top w:val="nil"/>
              <w:left w:val="nil"/>
              <w:bottom w:val="single" w:sz="8" w:space="0" w:color="auto"/>
              <w:right w:val="single" w:sz="4" w:space="0" w:color="auto"/>
            </w:tcBorders>
            <w:shd w:val="clear" w:color="000000" w:fill="EDEDED"/>
            <w:vAlign w:val="center"/>
          </w:tcPr>
          <w:p w14:paraId="73D07094" w14:textId="7613CCF6" w:rsidR="004D408E" w:rsidRPr="004D408E" w:rsidRDefault="004D408E" w:rsidP="004D408E">
            <w:pPr>
              <w:widowControl/>
              <w:tabs>
                <w:tab w:val="clear" w:pos="7088"/>
              </w:tabs>
              <w:spacing w:after="0"/>
              <w:ind w:left="0"/>
              <w:jc w:val="center"/>
              <w:rPr>
                <w:rFonts w:ascii="Calibri" w:hAnsi="Calibri" w:cs="Calibri"/>
                <w:snapToGrid/>
                <w:color w:val="000000"/>
                <w:szCs w:val="22"/>
                <w:lang w:val="en-US" w:eastAsia="en-US"/>
              </w:rPr>
            </w:pPr>
          </w:p>
        </w:tc>
      </w:tr>
      <w:tr w:rsidR="00521352" w:rsidRPr="008B4187" w14:paraId="6A8BDB36" w14:textId="77777777" w:rsidTr="00521352">
        <w:trPr>
          <w:trHeight w:val="900"/>
        </w:trPr>
        <w:tc>
          <w:tcPr>
            <w:tcW w:w="1006" w:type="dxa"/>
            <w:tcBorders>
              <w:top w:val="nil"/>
              <w:left w:val="single" w:sz="4" w:space="0" w:color="auto"/>
              <w:bottom w:val="nil"/>
              <w:right w:val="single" w:sz="4" w:space="0" w:color="auto"/>
            </w:tcBorders>
            <w:shd w:val="clear" w:color="000000" w:fill="FFFFFF"/>
            <w:vAlign w:val="center"/>
          </w:tcPr>
          <w:p w14:paraId="352227E1" w14:textId="4D275D76" w:rsidR="00521352" w:rsidRPr="004D408E"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Pr>
                <w:rFonts w:ascii="Calibri" w:hAnsi="Calibri" w:cs="Calibri"/>
                <w:color w:val="000000"/>
                <w:szCs w:val="22"/>
              </w:rPr>
              <w:t>2025</w:t>
            </w:r>
          </w:p>
        </w:tc>
        <w:tc>
          <w:tcPr>
            <w:tcW w:w="1574" w:type="dxa"/>
            <w:tcBorders>
              <w:top w:val="single" w:sz="4" w:space="0" w:color="auto"/>
              <w:left w:val="nil"/>
              <w:bottom w:val="single" w:sz="4" w:space="0" w:color="auto"/>
              <w:right w:val="single" w:sz="4" w:space="0" w:color="auto"/>
            </w:tcBorders>
            <w:shd w:val="clear" w:color="000000" w:fill="FFF2CC"/>
            <w:vAlign w:val="center"/>
          </w:tcPr>
          <w:p w14:paraId="7A60A56C" w14:textId="7A395526"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EURAMET.QM-K91.2022</w:t>
            </w:r>
          </w:p>
        </w:tc>
        <w:tc>
          <w:tcPr>
            <w:tcW w:w="1547" w:type="dxa"/>
            <w:tcBorders>
              <w:top w:val="nil"/>
              <w:left w:val="nil"/>
              <w:bottom w:val="single" w:sz="4" w:space="0" w:color="auto"/>
              <w:right w:val="single" w:sz="4" w:space="0" w:color="auto"/>
            </w:tcBorders>
            <w:shd w:val="clear" w:color="000000" w:fill="FFF2CC"/>
            <w:vAlign w:val="center"/>
          </w:tcPr>
          <w:p w14:paraId="68B71366" w14:textId="0484987B"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proofErr w:type="spellStart"/>
            <w:r w:rsidRPr="00D950FD">
              <w:rPr>
                <w:rFonts w:ascii="Calibri" w:hAnsi="Calibri" w:cs="Calibri"/>
                <w:color w:val="000000"/>
                <w:szCs w:val="22"/>
              </w:rPr>
              <w:t>phtalate</w:t>
            </w:r>
            <w:proofErr w:type="spellEnd"/>
            <w:r w:rsidRPr="00D950FD">
              <w:rPr>
                <w:rFonts w:ascii="Calibri" w:hAnsi="Calibri" w:cs="Calibri"/>
                <w:color w:val="000000"/>
                <w:szCs w:val="22"/>
              </w:rPr>
              <w:br/>
              <w:t>(LNE/PTB)</w:t>
            </w:r>
          </w:p>
        </w:tc>
        <w:tc>
          <w:tcPr>
            <w:tcW w:w="1574" w:type="dxa"/>
            <w:tcBorders>
              <w:top w:val="nil"/>
              <w:left w:val="nil"/>
              <w:bottom w:val="single" w:sz="4" w:space="0" w:color="auto"/>
              <w:right w:val="single" w:sz="4" w:space="0" w:color="auto"/>
            </w:tcBorders>
            <w:shd w:val="clear" w:color="000000" w:fill="DDEBF7"/>
            <w:vAlign w:val="center"/>
          </w:tcPr>
          <w:p w14:paraId="527010F0" w14:textId="6DDA5BF5"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 </w:t>
            </w:r>
          </w:p>
        </w:tc>
        <w:tc>
          <w:tcPr>
            <w:tcW w:w="1444" w:type="dxa"/>
            <w:tcBorders>
              <w:top w:val="nil"/>
              <w:left w:val="nil"/>
              <w:bottom w:val="single" w:sz="4" w:space="0" w:color="auto"/>
              <w:right w:val="single" w:sz="4" w:space="0" w:color="auto"/>
            </w:tcBorders>
            <w:shd w:val="clear" w:color="000000" w:fill="DDEBF7"/>
            <w:vAlign w:val="center"/>
          </w:tcPr>
          <w:p w14:paraId="30469BB5" w14:textId="6D06A576"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 </w:t>
            </w:r>
          </w:p>
        </w:tc>
        <w:tc>
          <w:tcPr>
            <w:tcW w:w="1394" w:type="dxa"/>
            <w:tcBorders>
              <w:top w:val="nil"/>
              <w:left w:val="nil"/>
              <w:bottom w:val="single" w:sz="4" w:space="0" w:color="auto"/>
              <w:right w:val="single" w:sz="4" w:space="0" w:color="auto"/>
            </w:tcBorders>
            <w:shd w:val="clear" w:color="000000" w:fill="FCE4D6"/>
            <w:vAlign w:val="center"/>
          </w:tcPr>
          <w:p w14:paraId="1FD04466" w14:textId="33068998"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proofErr w:type="spellStart"/>
            <w:r w:rsidRPr="00D950FD">
              <w:rPr>
                <w:rFonts w:ascii="Calibri" w:hAnsi="Calibri" w:cs="Calibri"/>
                <w:color w:val="000000"/>
                <w:szCs w:val="22"/>
              </w:rPr>
              <w:t>Kxxx</w:t>
            </w:r>
            <w:proofErr w:type="spellEnd"/>
          </w:p>
        </w:tc>
        <w:tc>
          <w:tcPr>
            <w:tcW w:w="1515" w:type="dxa"/>
            <w:tcBorders>
              <w:top w:val="nil"/>
              <w:left w:val="nil"/>
              <w:bottom w:val="single" w:sz="4" w:space="0" w:color="auto"/>
              <w:right w:val="single" w:sz="4" w:space="0" w:color="auto"/>
            </w:tcBorders>
            <w:shd w:val="clear" w:color="000000" w:fill="FCE4D6"/>
            <w:vAlign w:val="center"/>
          </w:tcPr>
          <w:p w14:paraId="13DCC823" w14:textId="1CD94B16"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EDTA (8)</w:t>
            </w:r>
            <w:r w:rsidRPr="00D950FD">
              <w:rPr>
                <w:rFonts w:ascii="Calibri" w:hAnsi="Calibri" w:cs="Calibri"/>
                <w:color w:val="000000"/>
                <w:szCs w:val="22"/>
              </w:rPr>
              <w:br/>
              <w:t>(KRISS)</w:t>
            </w:r>
          </w:p>
        </w:tc>
        <w:tc>
          <w:tcPr>
            <w:tcW w:w="1166" w:type="dxa"/>
            <w:tcBorders>
              <w:top w:val="nil"/>
              <w:left w:val="nil"/>
              <w:bottom w:val="single" w:sz="4" w:space="0" w:color="auto"/>
              <w:right w:val="single" w:sz="4" w:space="0" w:color="auto"/>
            </w:tcBorders>
            <w:shd w:val="clear" w:color="000000" w:fill="EDEDED"/>
            <w:vAlign w:val="center"/>
          </w:tcPr>
          <w:p w14:paraId="17F69A58" w14:textId="57224DAD"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 </w:t>
            </w:r>
          </w:p>
        </w:tc>
      </w:tr>
      <w:tr w:rsidR="00521352" w:rsidRPr="008B4187" w14:paraId="193957EA" w14:textId="77777777" w:rsidTr="00521352">
        <w:trPr>
          <w:trHeight w:val="600"/>
        </w:trPr>
        <w:tc>
          <w:tcPr>
            <w:tcW w:w="1006" w:type="dxa"/>
            <w:tcBorders>
              <w:top w:val="nil"/>
              <w:left w:val="single" w:sz="4" w:space="0" w:color="auto"/>
              <w:bottom w:val="single" w:sz="4" w:space="0" w:color="auto"/>
              <w:right w:val="single" w:sz="4" w:space="0" w:color="auto"/>
            </w:tcBorders>
            <w:shd w:val="clear" w:color="000000" w:fill="FFFFFF"/>
            <w:vAlign w:val="center"/>
          </w:tcPr>
          <w:p w14:paraId="12659E22" w14:textId="5A0AD903" w:rsidR="00521352" w:rsidRPr="004D408E"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Pr>
                <w:rFonts w:ascii="Calibri" w:hAnsi="Calibri" w:cs="Calibri"/>
                <w:color w:val="000000"/>
                <w:szCs w:val="22"/>
              </w:rPr>
              <w:t> </w:t>
            </w:r>
          </w:p>
        </w:tc>
        <w:tc>
          <w:tcPr>
            <w:tcW w:w="1574" w:type="dxa"/>
            <w:tcBorders>
              <w:top w:val="single" w:sz="4" w:space="0" w:color="auto"/>
              <w:left w:val="nil"/>
              <w:bottom w:val="single" w:sz="4" w:space="0" w:color="auto"/>
              <w:right w:val="single" w:sz="4" w:space="0" w:color="auto"/>
            </w:tcBorders>
            <w:shd w:val="clear" w:color="000000" w:fill="FFF2CC"/>
            <w:vAlign w:val="center"/>
          </w:tcPr>
          <w:p w14:paraId="5F7026F6" w14:textId="6D3428E5"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K20.2025</w:t>
            </w:r>
          </w:p>
        </w:tc>
        <w:tc>
          <w:tcPr>
            <w:tcW w:w="1547" w:type="dxa"/>
            <w:tcBorders>
              <w:top w:val="nil"/>
              <w:left w:val="nil"/>
              <w:bottom w:val="single" w:sz="4" w:space="0" w:color="auto"/>
              <w:right w:val="single" w:sz="4" w:space="0" w:color="auto"/>
            </w:tcBorders>
            <w:shd w:val="clear" w:color="000000" w:fill="FFF2CC"/>
            <w:vAlign w:val="center"/>
          </w:tcPr>
          <w:p w14:paraId="6C939670" w14:textId="0511CD1C"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proofErr w:type="spellStart"/>
            <w:r w:rsidRPr="00D950FD">
              <w:rPr>
                <w:rFonts w:ascii="Calibri" w:hAnsi="Calibri" w:cs="Calibri"/>
                <w:color w:val="000000"/>
                <w:szCs w:val="22"/>
              </w:rPr>
              <w:t>Tetroxalate</w:t>
            </w:r>
            <w:proofErr w:type="spellEnd"/>
            <w:r w:rsidRPr="00D950FD">
              <w:rPr>
                <w:rFonts w:ascii="Calibri" w:hAnsi="Calibri" w:cs="Calibri"/>
                <w:color w:val="000000"/>
                <w:szCs w:val="22"/>
              </w:rPr>
              <w:br/>
              <w:t>(INMETRO)</w:t>
            </w:r>
          </w:p>
        </w:tc>
        <w:tc>
          <w:tcPr>
            <w:tcW w:w="1574" w:type="dxa"/>
            <w:tcBorders>
              <w:top w:val="nil"/>
              <w:left w:val="nil"/>
              <w:bottom w:val="single" w:sz="4" w:space="0" w:color="auto"/>
              <w:right w:val="single" w:sz="4" w:space="0" w:color="auto"/>
            </w:tcBorders>
            <w:shd w:val="clear" w:color="000000" w:fill="DDEBF7"/>
            <w:vAlign w:val="center"/>
          </w:tcPr>
          <w:p w14:paraId="74FF362E" w14:textId="16F65EA7"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 </w:t>
            </w:r>
          </w:p>
        </w:tc>
        <w:tc>
          <w:tcPr>
            <w:tcW w:w="1444" w:type="dxa"/>
            <w:tcBorders>
              <w:top w:val="nil"/>
              <w:left w:val="nil"/>
              <w:bottom w:val="single" w:sz="4" w:space="0" w:color="auto"/>
              <w:right w:val="single" w:sz="4" w:space="0" w:color="auto"/>
            </w:tcBorders>
            <w:shd w:val="clear" w:color="000000" w:fill="DDEBF7"/>
            <w:vAlign w:val="center"/>
          </w:tcPr>
          <w:p w14:paraId="7DCE6756" w14:textId="0499D7FB"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 </w:t>
            </w:r>
          </w:p>
        </w:tc>
        <w:tc>
          <w:tcPr>
            <w:tcW w:w="1394" w:type="dxa"/>
            <w:tcBorders>
              <w:top w:val="nil"/>
              <w:left w:val="nil"/>
              <w:bottom w:val="single" w:sz="4" w:space="0" w:color="auto"/>
              <w:right w:val="single" w:sz="4" w:space="0" w:color="auto"/>
            </w:tcBorders>
            <w:shd w:val="clear" w:color="000000" w:fill="FCE4D6"/>
            <w:vAlign w:val="center"/>
          </w:tcPr>
          <w:p w14:paraId="725F4C58" w14:textId="1CFF6B36"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 </w:t>
            </w:r>
          </w:p>
        </w:tc>
        <w:tc>
          <w:tcPr>
            <w:tcW w:w="1515" w:type="dxa"/>
            <w:tcBorders>
              <w:top w:val="nil"/>
              <w:left w:val="nil"/>
              <w:bottom w:val="single" w:sz="4" w:space="0" w:color="auto"/>
              <w:right w:val="single" w:sz="4" w:space="0" w:color="auto"/>
            </w:tcBorders>
            <w:shd w:val="clear" w:color="000000" w:fill="FCE4D6"/>
            <w:vAlign w:val="center"/>
          </w:tcPr>
          <w:p w14:paraId="4D00C0C8" w14:textId="0DC0C4D9"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 </w:t>
            </w:r>
          </w:p>
        </w:tc>
        <w:tc>
          <w:tcPr>
            <w:tcW w:w="1166" w:type="dxa"/>
            <w:tcBorders>
              <w:top w:val="nil"/>
              <w:left w:val="nil"/>
              <w:bottom w:val="single" w:sz="4" w:space="0" w:color="auto"/>
              <w:right w:val="single" w:sz="4" w:space="0" w:color="auto"/>
            </w:tcBorders>
            <w:shd w:val="clear" w:color="000000" w:fill="EDEDED"/>
            <w:vAlign w:val="center"/>
          </w:tcPr>
          <w:p w14:paraId="30F09964" w14:textId="374C5E39"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 </w:t>
            </w:r>
          </w:p>
        </w:tc>
      </w:tr>
      <w:tr w:rsidR="00521352" w:rsidRPr="008B4187" w14:paraId="2539EA7E" w14:textId="77777777" w:rsidTr="00521352">
        <w:trPr>
          <w:trHeight w:val="600"/>
        </w:trPr>
        <w:tc>
          <w:tcPr>
            <w:tcW w:w="1006" w:type="dxa"/>
            <w:tcBorders>
              <w:top w:val="nil"/>
              <w:left w:val="single" w:sz="4" w:space="0" w:color="auto"/>
              <w:bottom w:val="nil"/>
              <w:right w:val="single" w:sz="4" w:space="0" w:color="auto"/>
            </w:tcBorders>
            <w:shd w:val="clear" w:color="000000" w:fill="FFFFFF"/>
            <w:vAlign w:val="center"/>
          </w:tcPr>
          <w:p w14:paraId="47EE6388" w14:textId="07C77CB0" w:rsidR="00521352" w:rsidRPr="004D408E"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Pr>
                <w:rFonts w:ascii="Calibri" w:hAnsi="Calibri" w:cs="Calibri"/>
                <w:color w:val="000000"/>
                <w:szCs w:val="22"/>
              </w:rPr>
              <w:t>2026</w:t>
            </w:r>
          </w:p>
        </w:tc>
        <w:tc>
          <w:tcPr>
            <w:tcW w:w="1574" w:type="dxa"/>
            <w:tcBorders>
              <w:top w:val="single" w:sz="4" w:space="0" w:color="auto"/>
              <w:left w:val="nil"/>
              <w:bottom w:val="single" w:sz="4" w:space="0" w:color="auto"/>
              <w:right w:val="single" w:sz="4" w:space="0" w:color="auto"/>
            </w:tcBorders>
            <w:shd w:val="clear" w:color="000000" w:fill="FFE699"/>
            <w:vAlign w:val="center"/>
          </w:tcPr>
          <w:p w14:paraId="1F6D22BD" w14:textId="0B072676"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proofErr w:type="spellStart"/>
            <w:r w:rsidRPr="00D950FD">
              <w:rPr>
                <w:rFonts w:ascii="Calibri" w:hAnsi="Calibri" w:cs="Calibri"/>
                <w:color w:val="000000"/>
                <w:szCs w:val="22"/>
              </w:rPr>
              <w:t>K.xxx</w:t>
            </w:r>
            <w:proofErr w:type="spellEnd"/>
          </w:p>
        </w:tc>
        <w:tc>
          <w:tcPr>
            <w:tcW w:w="1547" w:type="dxa"/>
            <w:tcBorders>
              <w:top w:val="nil"/>
              <w:left w:val="nil"/>
              <w:bottom w:val="single" w:sz="4" w:space="0" w:color="auto"/>
              <w:right w:val="single" w:sz="4" w:space="0" w:color="auto"/>
            </w:tcBorders>
            <w:shd w:val="clear" w:color="000000" w:fill="FFE699"/>
            <w:vAlign w:val="center"/>
          </w:tcPr>
          <w:p w14:paraId="38DA6754" w14:textId="2C5B2B06"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Tris/seawater</w:t>
            </w:r>
            <w:r w:rsidRPr="00D950FD">
              <w:rPr>
                <w:rFonts w:ascii="Calibri" w:hAnsi="Calibri" w:cs="Calibri"/>
                <w:color w:val="000000"/>
                <w:szCs w:val="22"/>
              </w:rPr>
              <w:br/>
              <w:t>(NIST/LNE)</w:t>
            </w:r>
          </w:p>
        </w:tc>
        <w:tc>
          <w:tcPr>
            <w:tcW w:w="1574" w:type="dxa"/>
            <w:tcBorders>
              <w:top w:val="nil"/>
              <w:left w:val="nil"/>
              <w:bottom w:val="single" w:sz="4" w:space="0" w:color="auto"/>
              <w:right w:val="single" w:sz="4" w:space="0" w:color="auto"/>
            </w:tcBorders>
            <w:shd w:val="clear" w:color="000000" w:fill="DDEBF7"/>
            <w:vAlign w:val="center"/>
          </w:tcPr>
          <w:p w14:paraId="2DBAE3F9" w14:textId="408E5AD3"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EURAMET.QM-</w:t>
            </w:r>
            <w:proofErr w:type="spellStart"/>
            <w:r w:rsidRPr="00D950FD">
              <w:rPr>
                <w:rFonts w:ascii="Calibri" w:hAnsi="Calibri" w:cs="Calibri"/>
                <w:color w:val="000000"/>
                <w:szCs w:val="22"/>
              </w:rPr>
              <w:t>Kxxx</w:t>
            </w:r>
            <w:proofErr w:type="spellEnd"/>
          </w:p>
        </w:tc>
        <w:tc>
          <w:tcPr>
            <w:tcW w:w="1444" w:type="dxa"/>
            <w:tcBorders>
              <w:top w:val="nil"/>
              <w:left w:val="nil"/>
              <w:bottom w:val="single" w:sz="4" w:space="0" w:color="auto"/>
              <w:right w:val="single" w:sz="4" w:space="0" w:color="auto"/>
            </w:tcBorders>
            <w:shd w:val="clear" w:color="000000" w:fill="DDEBF7"/>
            <w:vAlign w:val="center"/>
          </w:tcPr>
          <w:p w14:paraId="75C894DB" w14:textId="303F1BBB"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0.05 S/m (KCl)</w:t>
            </w:r>
            <w:r w:rsidRPr="00D950FD">
              <w:rPr>
                <w:rFonts w:ascii="Calibri" w:hAnsi="Calibri" w:cs="Calibri"/>
                <w:color w:val="000000"/>
                <w:szCs w:val="22"/>
              </w:rPr>
              <w:br/>
              <w:t>5 S/m (KCl)</w:t>
            </w:r>
            <w:r w:rsidRPr="00D950FD">
              <w:rPr>
                <w:rFonts w:ascii="Calibri" w:hAnsi="Calibri" w:cs="Calibri"/>
                <w:color w:val="000000"/>
                <w:szCs w:val="22"/>
              </w:rPr>
              <w:br/>
              <w:t>(PTB)</w:t>
            </w:r>
          </w:p>
        </w:tc>
        <w:tc>
          <w:tcPr>
            <w:tcW w:w="1394" w:type="dxa"/>
            <w:tcBorders>
              <w:top w:val="nil"/>
              <w:left w:val="nil"/>
              <w:bottom w:val="single" w:sz="4" w:space="0" w:color="auto"/>
              <w:right w:val="single" w:sz="4" w:space="0" w:color="auto"/>
            </w:tcBorders>
            <w:shd w:val="clear" w:color="000000" w:fill="FCE4D6"/>
            <w:vAlign w:val="center"/>
          </w:tcPr>
          <w:p w14:paraId="2B0387C0" w14:textId="0017AEED"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K48.xxx</w:t>
            </w:r>
          </w:p>
        </w:tc>
        <w:tc>
          <w:tcPr>
            <w:tcW w:w="1515" w:type="dxa"/>
            <w:tcBorders>
              <w:top w:val="nil"/>
              <w:left w:val="nil"/>
              <w:bottom w:val="single" w:sz="4" w:space="0" w:color="auto"/>
              <w:right w:val="single" w:sz="4" w:space="0" w:color="auto"/>
            </w:tcBorders>
            <w:shd w:val="clear" w:color="000000" w:fill="FCE4D6"/>
            <w:vAlign w:val="center"/>
          </w:tcPr>
          <w:p w14:paraId="417BA3B2" w14:textId="279E7358"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KCl</w:t>
            </w:r>
          </w:p>
        </w:tc>
        <w:tc>
          <w:tcPr>
            <w:tcW w:w="1166" w:type="dxa"/>
            <w:tcBorders>
              <w:top w:val="nil"/>
              <w:left w:val="nil"/>
              <w:bottom w:val="single" w:sz="4" w:space="0" w:color="auto"/>
              <w:right w:val="single" w:sz="4" w:space="0" w:color="auto"/>
            </w:tcBorders>
            <w:shd w:val="clear" w:color="000000" w:fill="EDEDED"/>
            <w:vAlign w:val="center"/>
          </w:tcPr>
          <w:p w14:paraId="3F43C06D" w14:textId="4773DD4A"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 </w:t>
            </w:r>
            <w:r w:rsidRPr="00D950FD">
              <w:rPr>
                <w:rFonts w:ascii="Calibri" w:hAnsi="Calibri" w:cs="Calibri"/>
                <w:color w:val="000000"/>
                <w:szCs w:val="22"/>
              </w:rPr>
              <w:t>pH 1</w:t>
            </w:r>
            <w:r w:rsidRPr="00D950FD">
              <w:rPr>
                <w:rFonts w:ascii="Calibri" w:hAnsi="Calibri" w:cs="Calibri"/>
                <w:color w:val="000000"/>
                <w:szCs w:val="22"/>
              </w:rPr>
              <w:t>2.5</w:t>
            </w:r>
            <w:r w:rsidRPr="00D950FD">
              <w:rPr>
                <w:rFonts w:ascii="Calibri" w:hAnsi="Calibri" w:cs="Calibri"/>
                <w:color w:val="000000"/>
                <w:szCs w:val="22"/>
              </w:rPr>
              <w:br/>
              <w:t>(calcium hydroxide, extended)</w:t>
            </w:r>
          </w:p>
        </w:tc>
      </w:tr>
      <w:tr w:rsidR="00D950FD" w:rsidRPr="008B4187" w14:paraId="26DC4666" w14:textId="77777777" w:rsidTr="00D950FD">
        <w:trPr>
          <w:trHeight w:val="600"/>
        </w:trPr>
        <w:tc>
          <w:tcPr>
            <w:tcW w:w="1006" w:type="dxa"/>
            <w:tcBorders>
              <w:top w:val="nil"/>
              <w:left w:val="single" w:sz="4" w:space="0" w:color="auto"/>
              <w:bottom w:val="nil"/>
              <w:right w:val="single" w:sz="4" w:space="0" w:color="auto"/>
            </w:tcBorders>
            <w:shd w:val="clear" w:color="000000" w:fill="FFFFFF"/>
            <w:vAlign w:val="center"/>
          </w:tcPr>
          <w:p w14:paraId="43AB1B0F" w14:textId="77777777" w:rsidR="00D950FD" w:rsidRDefault="00D950FD" w:rsidP="00D950FD">
            <w:pPr>
              <w:widowControl/>
              <w:tabs>
                <w:tab w:val="clear" w:pos="7088"/>
              </w:tabs>
              <w:spacing w:after="0"/>
              <w:ind w:left="0"/>
              <w:jc w:val="center"/>
              <w:rPr>
                <w:rFonts w:ascii="Calibri" w:hAnsi="Calibri" w:cs="Calibri"/>
                <w:color w:val="000000"/>
                <w:szCs w:val="22"/>
              </w:rPr>
            </w:pPr>
          </w:p>
        </w:tc>
        <w:tc>
          <w:tcPr>
            <w:tcW w:w="1574"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639E18C" w14:textId="72038109" w:rsidR="00D950FD" w:rsidRPr="00D950FD" w:rsidRDefault="00D950FD" w:rsidP="00D950FD">
            <w:pPr>
              <w:widowControl/>
              <w:tabs>
                <w:tab w:val="clear" w:pos="7088"/>
              </w:tabs>
              <w:spacing w:after="0"/>
              <w:ind w:left="0"/>
              <w:jc w:val="center"/>
              <w:rPr>
                <w:rFonts w:ascii="Calibri" w:hAnsi="Calibri" w:cs="Calibri"/>
                <w:color w:val="000000"/>
                <w:szCs w:val="22"/>
              </w:rPr>
            </w:pPr>
            <w:r w:rsidRPr="00D950FD">
              <w:rPr>
                <w:rFonts w:ascii="Calibri" w:hAnsi="Calibri" w:cs="Calibri"/>
                <w:color w:val="000000"/>
                <w:szCs w:val="22"/>
              </w:rPr>
              <w:t>EURAMET.QM-K</w:t>
            </w:r>
            <w:r>
              <w:rPr>
                <w:rFonts w:ascii="Calibri" w:hAnsi="Calibri" w:cs="Calibri"/>
                <w:color w:val="000000"/>
                <w:szCs w:val="22"/>
              </w:rPr>
              <w:t>20.2025</w:t>
            </w:r>
          </w:p>
        </w:tc>
        <w:tc>
          <w:tcPr>
            <w:tcW w:w="1547" w:type="dxa"/>
            <w:tcBorders>
              <w:top w:val="nil"/>
              <w:left w:val="nil"/>
              <w:bottom w:val="single" w:sz="4" w:space="0" w:color="auto"/>
              <w:right w:val="single" w:sz="4" w:space="0" w:color="auto"/>
            </w:tcBorders>
            <w:shd w:val="clear" w:color="auto" w:fill="FFF2CC" w:themeFill="accent4" w:themeFillTint="33"/>
            <w:vAlign w:val="center"/>
          </w:tcPr>
          <w:p w14:paraId="458E7C32" w14:textId="4F25F819" w:rsidR="00D950FD" w:rsidRPr="00D950FD" w:rsidRDefault="00D950FD" w:rsidP="00D950FD">
            <w:pPr>
              <w:widowControl/>
              <w:tabs>
                <w:tab w:val="clear" w:pos="7088"/>
              </w:tabs>
              <w:spacing w:after="0"/>
              <w:ind w:left="0"/>
              <w:jc w:val="center"/>
              <w:rPr>
                <w:rFonts w:ascii="Calibri" w:hAnsi="Calibri" w:cs="Calibri"/>
                <w:color w:val="000000"/>
                <w:szCs w:val="22"/>
              </w:rPr>
            </w:pPr>
            <w:proofErr w:type="spellStart"/>
            <w:r>
              <w:rPr>
                <w:rFonts w:ascii="Calibri" w:hAnsi="Calibri" w:cs="Calibri"/>
                <w:color w:val="000000"/>
                <w:szCs w:val="22"/>
              </w:rPr>
              <w:t>Tetroxalate</w:t>
            </w:r>
            <w:proofErr w:type="spellEnd"/>
            <w:r w:rsidRPr="00D950FD">
              <w:rPr>
                <w:rFonts w:ascii="Calibri" w:hAnsi="Calibri" w:cs="Calibri"/>
                <w:color w:val="000000"/>
                <w:szCs w:val="22"/>
              </w:rPr>
              <w:br/>
            </w:r>
            <w:proofErr w:type="spellStart"/>
            <w:r>
              <w:rPr>
                <w:rFonts w:ascii="Calibri" w:hAnsi="Calibri" w:cs="Calibri"/>
                <w:color w:val="000000"/>
                <w:szCs w:val="22"/>
              </w:rPr>
              <w:t>tbd</w:t>
            </w:r>
            <w:proofErr w:type="spellEnd"/>
          </w:p>
        </w:tc>
        <w:tc>
          <w:tcPr>
            <w:tcW w:w="1574" w:type="dxa"/>
            <w:tcBorders>
              <w:top w:val="nil"/>
              <w:left w:val="nil"/>
              <w:bottom w:val="single" w:sz="4" w:space="0" w:color="auto"/>
              <w:right w:val="single" w:sz="4" w:space="0" w:color="auto"/>
            </w:tcBorders>
            <w:shd w:val="clear" w:color="000000" w:fill="DDEBF7"/>
            <w:vAlign w:val="center"/>
          </w:tcPr>
          <w:p w14:paraId="063F56D2" w14:textId="75DF1134" w:rsidR="00D950FD" w:rsidRPr="00D950FD" w:rsidRDefault="00D950FD" w:rsidP="00D950FD">
            <w:pPr>
              <w:widowControl/>
              <w:tabs>
                <w:tab w:val="clear" w:pos="7088"/>
              </w:tabs>
              <w:spacing w:after="0"/>
              <w:ind w:left="0"/>
              <w:jc w:val="center"/>
              <w:rPr>
                <w:rFonts w:ascii="Calibri" w:hAnsi="Calibri" w:cs="Calibri"/>
                <w:color w:val="000000"/>
                <w:szCs w:val="22"/>
              </w:rPr>
            </w:pPr>
            <w:r w:rsidRPr="00D950FD">
              <w:rPr>
                <w:rFonts w:ascii="Calibri" w:hAnsi="Calibri" w:cs="Calibri"/>
                <w:color w:val="000000"/>
                <w:szCs w:val="22"/>
              </w:rPr>
              <w:t> </w:t>
            </w:r>
          </w:p>
        </w:tc>
        <w:tc>
          <w:tcPr>
            <w:tcW w:w="1444" w:type="dxa"/>
            <w:tcBorders>
              <w:top w:val="nil"/>
              <w:left w:val="nil"/>
              <w:bottom w:val="single" w:sz="4" w:space="0" w:color="auto"/>
              <w:right w:val="single" w:sz="4" w:space="0" w:color="auto"/>
            </w:tcBorders>
            <w:shd w:val="clear" w:color="000000" w:fill="DDEBF7"/>
            <w:vAlign w:val="center"/>
          </w:tcPr>
          <w:p w14:paraId="46F262CC" w14:textId="09A3E61D" w:rsidR="00D950FD" w:rsidRPr="00D950FD" w:rsidRDefault="00D950FD" w:rsidP="00D950FD">
            <w:pPr>
              <w:widowControl/>
              <w:tabs>
                <w:tab w:val="clear" w:pos="7088"/>
              </w:tabs>
              <w:spacing w:after="0"/>
              <w:ind w:left="0"/>
              <w:jc w:val="center"/>
              <w:rPr>
                <w:rFonts w:ascii="Calibri" w:hAnsi="Calibri" w:cs="Calibri"/>
                <w:color w:val="000000"/>
                <w:szCs w:val="22"/>
              </w:rPr>
            </w:pPr>
            <w:r w:rsidRPr="00D950FD">
              <w:rPr>
                <w:rFonts w:ascii="Calibri" w:hAnsi="Calibri" w:cs="Calibri"/>
                <w:color w:val="000000"/>
                <w:szCs w:val="22"/>
              </w:rPr>
              <w:t> </w:t>
            </w:r>
          </w:p>
        </w:tc>
        <w:tc>
          <w:tcPr>
            <w:tcW w:w="1394" w:type="dxa"/>
            <w:tcBorders>
              <w:top w:val="nil"/>
              <w:left w:val="nil"/>
              <w:bottom w:val="single" w:sz="4" w:space="0" w:color="auto"/>
              <w:right w:val="single" w:sz="4" w:space="0" w:color="auto"/>
            </w:tcBorders>
            <w:shd w:val="clear" w:color="000000" w:fill="FCE4D6"/>
            <w:vAlign w:val="center"/>
          </w:tcPr>
          <w:p w14:paraId="5BC501E7" w14:textId="6FBFA180" w:rsidR="00D950FD" w:rsidRPr="00D950FD" w:rsidRDefault="00D950FD" w:rsidP="00D950FD">
            <w:pPr>
              <w:widowControl/>
              <w:tabs>
                <w:tab w:val="clear" w:pos="7088"/>
              </w:tabs>
              <w:spacing w:after="0"/>
              <w:ind w:left="0"/>
              <w:jc w:val="center"/>
              <w:rPr>
                <w:rFonts w:ascii="Calibri" w:hAnsi="Calibri" w:cs="Calibri"/>
                <w:color w:val="000000"/>
                <w:szCs w:val="22"/>
              </w:rPr>
            </w:pPr>
            <w:proofErr w:type="spellStart"/>
            <w:r w:rsidRPr="00D950FD">
              <w:rPr>
                <w:rFonts w:ascii="Calibri" w:hAnsi="Calibri" w:cs="Calibri"/>
                <w:color w:val="000000"/>
                <w:szCs w:val="22"/>
              </w:rPr>
              <w:t>Kxxx</w:t>
            </w:r>
            <w:proofErr w:type="spellEnd"/>
          </w:p>
        </w:tc>
        <w:tc>
          <w:tcPr>
            <w:tcW w:w="1515" w:type="dxa"/>
            <w:tcBorders>
              <w:top w:val="nil"/>
              <w:left w:val="nil"/>
              <w:bottom w:val="single" w:sz="4" w:space="0" w:color="auto"/>
              <w:right w:val="single" w:sz="4" w:space="0" w:color="auto"/>
            </w:tcBorders>
            <w:shd w:val="clear" w:color="000000" w:fill="FCE4D6"/>
            <w:vAlign w:val="center"/>
          </w:tcPr>
          <w:p w14:paraId="2FE6D3EF" w14:textId="25A3A9D5" w:rsidR="00D950FD" w:rsidRPr="00D950FD" w:rsidRDefault="00D950FD" w:rsidP="00D950FD">
            <w:pPr>
              <w:widowControl/>
              <w:tabs>
                <w:tab w:val="clear" w:pos="7088"/>
              </w:tabs>
              <w:spacing w:after="0"/>
              <w:ind w:left="0"/>
              <w:jc w:val="center"/>
              <w:rPr>
                <w:rFonts w:ascii="Calibri" w:hAnsi="Calibri" w:cs="Calibri"/>
                <w:color w:val="000000"/>
                <w:szCs w:val="22"/>
              </w:rPr>
            </w:pPr>
            <w:r w:rsidRPr="00D950FD">
              <w:rPr>
                <w:rFonts w:ascii="Calibri" w:hAnsi="Calibri" w:cs="Calibri"/>
                <w:color w:val="000000"/>
                <w:szCs w:val="22"/>
              </w:rPr>
              <w:t>EDTA (8)</w:t>
            </w:r>
            <w:r w:rsidRPr="00D950FD">
              <w:rPr>
                <w:rFonts w:ascii="Calibri" w:hAnsi="Calibri" w:cs="Calibri"/>
                <w:color w:val="000000"/>
                <w:szCs w:val="22"/>
              </w:rPr>
              <w:br/>
              <w:t>(KRISS)</w:t>
            </w:r>
          </w:p>
        </w:tc>
        <w:tc>
          <w:tcPr>
            <w:tcW w:w="1166" w:type="dxa"/>
            <w:tcBorders>
              <w:top w:val="nil"/>
              <w:left w:val="nil"/>
              <w:bottom w:val="single" w:sz="4" w:space="0" w:color="auto"/>
              <w:right w:val="single" w:sz="4" w:space="0" w:color="auto"/>
            </w:tcBorders>
            <w:shd w:val="clear" w:color="000000" w:fill="EDEDED"/>
            <w:vAlign w:val="center"/>
          </w:tcPr>
          <w:p w14:paraId="455D4992" w14:textId="12B70D73" w:rsidR="00D950FD" w:rsidRPr="00D950FD" w:rsidRDefault="00D950FD" w:rsidP="00D950FD">
            <w:pPr>
              <w:widowControl/>
              <w:tabs>
                <w:tab w:val="clear" w:pos="7088"/>
              </w:tabs>
              <w:spacing w:after="0"/>
              <w:ind w:left="0"/>
              <w:jc w:val="center"/>
              <w:rPr>
                <w:rFonts w:ascii="Calibri" w:hAnsi="Calibri" w:cs="Calibri"/>
                <w:color w:val="000000"/>
                <w:szCs w:val="22"/>
              </w:rPr>
            </w:pPr>
            <w:r w:rsidRPr="00D950FD">
              <w:rPr>
                <w:rFonts w:ascii="Calibri" w:hAnsi="Calibri" w:cs="Calibri"/>
                <w:color w:val="000000"/>
                <w:szCs w:val="22"/>
              </w:rPr>
              <w:t> </w:t>
            </w:r>
          </w:p>
        </w:tc>
      </w:tr>
      <w:tr w:rsidR="00DE40AC" w:rsidRPr="008B4187" w14:paraId="4139AD87" w14:textId="77777777" w:rsidTr="00521352">
        <w:trPr>
          <w:trHeight w:val="900"/>
        </w:trPr>
        <w:tc>
          <w:tcPr>
            <w:tcW w:w="1006" w:type="dxa"/>
            <w:tcBorders>
              <w:top w:val="single" w:sz="4" w:space="0" w:color="auto"/>
              <w:left w:val="single" w:sz="4" w:space="0" w:color="auto"/>
              <w:bottom w:val="single" w:sz="4" w:space="0" w:color="auto"/>
              <w:right w:val="single" w:sz="4" w:space="0" w:color="auto"/>
            </w:tcBorders>
            <w:shd w:val="clear" w:color="000000" w:fill="FFFFFF"/>
            <w:vAlign w:val="center"/>
          </w:tcPr>
          <w:p w14:paraId="26C30DE8" w14:textId="3A15930B" w:rsidR="00DE40AC" w:rsidRDefault="00DE40AC" w:rsidP="00521352">
            <w:pPr>
              <w:widowControl/>
              <w:tabs>
                <w:tab w:val="clear" w:pos="7088"/>
              </w:tabs>
              <w:spacing w:after="0"/>
              <w:ind w:left="0"/>
              <w:jc w:val="center"/>
              <w:rPr>
                <w:rFonts w:ascii="Calibri" w:hAnsi="Calibri" w:cs="Calibri"/>
                <w:color w:val="000000"/>
                <w:szCs w:val="22"/>
              </w:rPr>
            </w:pPr>
            <w:r>
              <w:rPr>
                <w:rFonts w:ascii="Calibri" w:hAnsi="Calibri" w:cs="Calibri"/>
                <w:color w:val="000000"/>
                <w:szCs w:val="22"/>
              </w:rPr>
              <w:t>2027</w:t>
            </w:r>
          </w:p>
        </w:tc>
        <w:tc>
          <w:tcPr>
            <w:tcW w:w="1574" w:type="dxa"/>
            <w:tcBorders>
              <w:top w:val="single" w:sz="4" w:space="0" w:color="auto"/>
              <w:left w:val="nil"/>
              <w:bottom w:val="single" w:sz="4" w:space="0" w:color="auto"/>
              <w:right w:val="single" w:sz="4" w:space="0" w:color="auto"/>
            </w:tcBorders>
            <w:shd w:val="clear" w:color="000000" w:fill="FFE699"/>
            <w:vAlign w:val="center"/>
          </w:tcPr>
          <w:p w14:paraId="23F93DF2" w14:textId="16F8ACDF" w:rsidR="00DE40AC" w:rsidRPr="00D950FD" w:rsidRDefault="00DE40AC" w:rsidP="00521352">
            <w:pPr>
              <w:widowControl/>
              <w:tabs>
                <w:tab w:val="clear" w:pos="7088"/>
              </w:tabs>
              <w:spacing w:after="0"/>
              <w:ind w:left="0"/>
              <w:jc w:val="center"/>
              <w:rPr>
                <w:rFonts w:ascii="Calibri" w:hAnsi="Calibri" w:cs="Calibri"/>
                <w:color w:val="000000"/>
                <w:szCs w:val="22"/>
              </w:rPr>
            </w:pPr>
            <w:proofErr w:type="spellStart"/>
            <w:r w:rsidRPr="00D950FD">
              <w:rPr>
                <w:rFonts w:ascii="Calibri" w:hAnsi="Calibri" w:cs="Calibri"/>
                <w:color w:val="000000"/>
                <w:szCs w:val="22"/>
              </w:rPr>
              <w:t>tbd</w:t>
            </w:r>
            <w:proofErr w:type="spellEnd"/>
          </w:p>
        </w:tc>
        <w:tc>
          <w:tcPr>
            <w:tcW w:w="1547" w:type="dxa"/>
            <w:tcBorders>
              <w:top w:val="nil"/>
              <w:left w:val="nil"/>
              <w:bottom w:val="single" w:sz="4" w:space="0" w:color="auto"/>
              <w:right w:val="single" w:sz="4" w:space="0" w:color="auto"/>
            </w:tcBorders>
            <w:shd w:val="clear" w:color="000000" w:fill="FFE699"/>
            <w:vAlign w:val="center"/>
          </w:tcPr>
          <w:p w14:paraId="2BCA3D63" w14:textId="6365C757" w:rsidR="00DE40AC" w:rsidRPr="00D950FD" w:rsidRDefault="00DE40AC" w:rsidP="00521352">
            <w:pPr>
              <w:widowControl/>
              <w:tabs>
                <w:tab w:val="clear" w:pos="7088"/>
              </w:tabs>
              <w:spacing w:after="0"/>
              <w:ind w:left="0"/>
              <w:jc w:val="center"/>
              <w:rPr>
                <w:rFonts w:ascii="Calibri" w:hAnsi="Calibri" w:cs="Calibri"/>
                <w:color w:val="000000"/>
                <w:szCs w:val="22"/>
              </w:rPr>
            </w:pPr>
            <w:r w:rsidRPr="00D950FD">
              <w:rPr>
                <w:rFonts w:ascii="Calibri" w:hAnsi="Calibri" w:cs="Calibri"/>
                <w:color w:val="000000"/>
                <w:szCs w:val="22"/>
              </w:rPr>
              <w:t>pH 12.5</w:t>
            </w:r>
            <w:r w:rsidRPr="00D950FD">
              <w:rPr>
                <w:rFonts w:ascii="Calibri" w:hAnsi="Calibri" w:cs="Calibri"/>
                <w:color w:val="000000"/>
                <w:szCs w:val="22"/>
              </w:rPr>
              <w:br/>
              <w:t>(e.g. calcium hydroxide, extended)</w:t>
            </w:r>
          </w:p>
        </w:tc>
        <w:tc>
          <w:tcPr>
            <w:tcW w:w="1574" w:type="dxa"/>
            <w:tcBorders>
              <w:top w:val="nil"/>
              <w:left w:val="nil"/>
              <w:bottom w:val="single" w:sz="4" w:space="0" w:color="auto"/>
              <w:right w:val="single" w:sz="4" w:space="0" w:color="auto"/>
            </w:tcBorders>
            <w:shd w:val="clear" w:color="000000" w:fill="DDEBF7"/>
            <w:vAlign w:val="center"/>
          </w:tcPr>
          <w:p w14:paraId="08A1DBF4" w14:textId="77777777" w:rsidR="00DE40AC" w:rsidRPr="00D950FD" w:rsidRDefault="00DE40AC" w:rsidP="00521352">
            <w:pPr>
              <w:widowControl/>
              <w:tabs>
                <w:tab w:val="clear" w:pos="7088"/>
              </w:tabs>
              <w:spacing w:after="0"/>
              <w:ind w:left="0"/>
              <w:jc w:val="center"/>
              <w:rPr>
                <w:rFonts w:ascii="Calibri" w:hAnsi="Calibri" w:cs="Calibri"/>
                <w:color w:val="000000"/>
                <w:szCs w:val="22"/>
              </w:rPr>
            </w:pPr>
          </w:p>
        </w:tc>
        <w:tc>
          <w:tcPr>
            <w:tcW w:w="1444" w:type="dxa"/>
            <w:tcBorders>
              <w:top w:val="nil"/>
              <w:left w:val="nil"/>
              <w:bottom w:val="single" w:sz="4" w:space="0" w:color="auto"/>
              <w:right w:val="single" w:sz="4" w:space="0" w:color="auto"/>
            </w:tcBorders>
            <w:shd w:val="clear" w:color="000000" w:fill="DDEBF7"/>
            <w:vAlign w:val="center"/>
          </w:tcPr>
          <w:p w14:paraId="447FE313" w14:textId="77777777" w:rsidR="00DE40AC" w:rsidRPr="00D950FD" w:rsidRDefault="00DE40AC" w:rsidP="00521352">
            <w:pPr>
              <w:widowControl/>
              <w:tabs>
                <w:tab w:val="clear" w:pos="7088"/>
              </w:tabs>
              <w:spacing w:after="0"/>
              <w:ind w:left="0"/>
              <w:jc w:val="center"/>
              <w:rPr>
                <w:rFonts w:ascii="Calibri" w:hAnsi="Calibri" w:cs="Calibri"/>
                <w:color w:val="000000"/>
                <w:szCs w:val="22"/>
              </w:rPr>
            </w:pPr>
          </w:p>
        </w:tc>
        <w:tc>
          <w:tcPr>
            <w:tcW w:w="1394" w:type="dxa"/>
            <w:tcBorders>
              <w:top w:val="nil"/>
              <w:left w:val="nil"/>
              <w:bottom w:val="single" w:sz="4" w:space="0" w:color="auto"/>
              <w:right w:val="single" w:sz="4" w:space="0" w:color="auto"/>
            </w:tcBorders>
            <w:shd w:val="clear" w:color="000000" w:fill="FCE4D6"/>
            <w:vAlign w:val="center"/>
          </w:tcPr>
          <w:p w14:paraId="79373C05" w14:textId="77777777" w:rsidR="00DE40AC" w:rsidRPr="00D950FD" w:rsidRDefault="00DE40AC" w:rsidP="00521352">
            <w:pPr>
              <w:widowControl/>
              <w:tabs>
                <w:tab w:val="clear" w:pos="7088"/>
              </w:tabs>
              <w:spacing w:after="0"/>
              <w:ind w:left="0"/>
              <w:jc w:val="center"/>
              <w:rPr>
                <w:rFonts w:ascii="Calibri" w:hAnsi="Calibri" w:cs="Calibri"/>
                <w:color w:val="000000"/>
                <w:szCs w:val="22"/>
              </w:rPr>
            </w:pPr>
          </w:p>
        </w:tc>
        <w:tc>
          <w:tcPr>
            <w:tcW w:w="1515" w:type="dxa"/>
            <w:tcBorders>
              <w:top w:val="nil"/>
              <w:left w:val="nil"/>
              <w:bottom w:val="single" w:sz="4" w:space="0" w:color="auto"/>
              <w:right w:val="single" w:sz="4" w:space="0" w:color="auto"/>
            </w:tcBorders>
            <w:shd w:val="clear" w:color="000000" w:fill="FCE4D6"/>
            <w:vAlign w:val="center"/>
          </w:tcPr>
          <w:p w14:paraId="57069024" w14:textId="77777777" w:rsidR="00DE40AC" w:rsidRPr="00D950FD" w:rsidRDefault="00DE40AC" w:rsidP="00521352">
            <w:pPr>
              <w:widowControl/>
              <w:tabs>
                <w:tab w:val="clear" w:pos="7088"/>
              </w:tabs>
              <w:spacing w:after="0"/>
              <w:ind w:left="0"/>
              <w:jc w:val="center"/>
              <w:rPr>
                <w:rFonts w:ascii="Calibri" w:hAnsi="Calibri" w:cs="Calibri"/>
                <w:color w:val="000000"/>
                <w:szCs w:val="22"/>
              </w:rPr>
            </w:pPr>
          </w:p>
        </w:tc>
        <w:tc>
          <w:tcPr>
            <w:tcW w:w="1166" w:type="dxa"/>
            <w:tcBorders>
              <w:top w:val="nil"/>
              <w:left w:val="nil"/>
              <w:bottom w:val="single" w:sz="4" w:space="0" w:color="auto"/>
              <w:right w:val="single" w:sz="4" w:space="0" w:color="auto"/>
            </w:tcBorders>
            <w:shd w:val="clear" w:color="000000" w:fill="EDEDED"/>
            <w:vAlign w:val="center"/>
          </w:tcPr>
          <w:p w14:paraId="31D48687" w14:textId="77777777" w:rsidR="00DE40AC" w:rsidRPr="00D950FD" w:rsidRDefault="00DE40AC" w:rsidP="00521352">
            <w:pPr>
              <w:widowControl/>
              <w:tabs>
                <w:tab w:val="clear" w:pos="7088"/>
              </w:tabs>
              <w:spacing w:after="0"/>
              <w:ind w:left="0"/>
              <w:jc w:val="center"/>
              <w:rPr>
                <w:rFonts w:ascii="Calibri" w:hAnsi="Calibri" w:cs="Calibri"/>
                <w:color w:val="000000"/>
                <w:szCs w:val="22"/>
              </w:rPr>
            </w:pPr>
          </w:p>
        </w:tc>
      </w:tr>
      <w:tr w:rsidR="00521352" w:rsidRPr="008B4187" w14:paraId="77C4AD40" w14:textId="77777777" w:rsidTr="00521352">
        <w:trPr>
          <w:trHeight w:val="900"/>
        </w:trPr>
        <w:tc>
          <w:tcPr>
            <w:tcW w:w="1006" w:type="dxa"/>
            <w:tcBorders>
              <w:top w:val="single" w:sz="4" w:space="0" w:color="auto"/>
              <w:left w:val="single" w:sz="4" w:space="0" w:color="auto"/>
              <w:bottom w:val="single" w:sz="4" w:space="0" w:color="auto"/>
              <w:right w:val="single" w:sz="4" w:space="0" w:color="auto"/>
            </w:tcBorders>
            <w:shd w:val="clear" w:color="000000" w:fill="FFFFFF"/>
            <w:vAlign w:val="center"/>
          </w:tcPr>
          <w:p w14:paraId="3B1A6763" w14:textId="3F65E9CF" w:rsidR="00521352" w:rsidRPr="004D408E"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Pr>
                <w:rFonts w:ascii="Calibri" w:hAnsi="Calibri" w:cs="Calibri"/>
                <w:color w:val="000000"/>
                <w:szCs w:val="22"/>
              </w:rPr>
              <w:t>2028</w:t>
            </w:r>
          </w:p>
        </w:tc>
        <w:tc>
          <w:tcPr>
            <w:tcW w:w="1574" w:type="dxa"/>
            <w:tcBorders>
              <w:top w:val="single" w:sz="4" w:space="0" w:color="auto"/>
              <w:left w:val="nil"/>
              <w:bottom w:val="single" w:sz="4" w:space="0" w:color="auto"/>
              <w:right w:val="single" w:sz="4" w:space="0" w:color="auto"/>
            </w:tcBorders>
            <w:shd w:val="clear" w:color="000000" w:fill="FFE699"/>
            <w:vAlign w:val="center"/>
          </w:tcPr>
          <w:p w14:paraId="7EFD0FF0" w14:textId="3E80E3D5" w:rsidR="00521352" w:rsidRPr="00D950FD" w:rsidRDefault="00521352" w:rsidP="00DE40AC">
            <w:pPr>
              <w:widowControl/>
              <w:tabs>
                <w:tab w:val="clear" w:pos="7088"/>
              </w:tabs>
              <w:spacing w:after="0"/>
              <w:ind w:left="0"/>
              <w:rPr>
                <w:rFonts w:ascii="Calibri" w:hAnsi="Calibri" w:cs="Calibri"/>
                <w:snapToGrid/>
                <w:color w:val="000000" w:themeColor="text1"/>
                <w:szCs w:val="22"/>
                <w:lang w:val="en-US" w:eastAsia="en-US"/>
              </w:rPr>
            </w:pPr>
          </w:p>
        </w:tc>
        <w:tc>
          <w:tcPr>
            <w:tcW w:w="1547" w:type="dxa"/>
            <w:tcBorders>
              <w:top w:val="nil"/>
              <w:left w:val="nil"/>
              <w:bottom w:val="single" w:sz="4" w:space="0" w:color="auto"/>
              <w:right w:val="single" w:sz="4" w:space="0" w:color="auto"/>
            </w:tcBorders>
            <w:shd w:val="clear" w:color="000000" w:fill="FFE699"/>
            <w:vAlign w:val="center"/>
          </w:tcPr>
          <w:p w14:paraId="4D595542" w14:textId="4A1EC44C"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p>
        </w:tc>
        <w:tc>
          <w:tcPr>
            <w:tcW w:w="1574" w:type="dxa"/>
            <w:tcBorders>
              <w:top w:val="nil"/>
              <w:left w:val="nil"/>
              <w:bottom w:val="single" w:sz="4" w:space="0" w:color="auto"/>
              <w:right w:val="single" w:sz="4" w:space="0" w:color="auto"/>
            </w:tcBorders>
            <w:shd w:val="clear" w:color="000000" w:fill="DDEBF7"/>
            <w:vAlign w:val="center"/>
          </w:tcPr>
          <w:p w14:paraId="7728B48B" w14:textId="05EA2669"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 </w:t>
            </w:r>
          </w:p>
        </w:tc>
        <w:tc>
          <w:tcPr>
            <w:tcW w:w="1444" w:type="dxa"/>
            <w:tcBorders>
              <w:top w:val="nil"/>
              <w:left w:val="nil"/>
              <w:bottom w:val="single" w:sz="4" w:space="0" w:color="auto"/>
              <w:right w:val="single" w:sz="4" w:space="0" w:color="auto"/>
            </w:tcBorders>
            <w:shd w:val="clear" w:color="000000" w:fill="DDEBF7"/>
            <w:vAlign w:val="center"/>
          </w:tcPr>
          <w:p w14:paraId="6FA32417" w14:textId="02D03B4D"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 </w:t>
            </w:r>
          </w:p>
        </w:tc>
        <w:tc>
          <w:tcPr>
            <w:tcW w:w="1394" w:type="dxa"/>
            <w:tcBorders>
              <w:top w:val="nil"/>
              <w:left w:val="nil"/>
              <w:bottom w:val="single" w:sz="4" w:space="0" w:color="auto"/>
              <w:right w:val="single" w:sz="4" w:space="0" w:color="auto"/>
            </w:tcBorders>
            <w:shd w:val="clear" w:color="000000" w:fill="FCE4D6"/>
            <w:vAlign w:val="center"/>
          </w:tcPr>
          <w:p w14:paraId="60AC8043" w14:textId="097FB272"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K73.xxx</w:t>
            </w:r>
          </w:p>
        </w:tc>
        <w:tc>
          <w:tcPr>
            <w:tcW w:w="1515" w:type="dxa"/>
            <w:tcBorders>
              <w:top w:val="nil"/>
              <w:left w:val="nil"/>
              <w:bottom w:val="single" w:sz="4" w:space="0" w:color="auto"/>
              <w:right w:val="single" w:sz="4" w:space="0" w:color="auto"/>
            </w:tcBorders>
            <w:shd w:val="clear" w:color="000000" w:fill="FCE4D6"/>
            <w:vAlign w:val="center"/>
          </w:tcPr>
          <w:p w14:paraId="54C1788F" w14:textId="59C6AC30"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HCl</w:t>
            </w:r>
          </w:p>
        </w:tc>
        <w:tc>
          <w:tcPr>
            <w:tcW w:w="1166" w:type="dxa"/>
            <w:tcBorders>
              <w:top w:val="nil"/>
              <w:left w:val="nil"/>
              <w:bottom w:val="single" w:sz="4" w:space="0" w:color="auto"/>
              <w:right w:val="single" w:sz="4" w:space="0" w:color="auto"/>
            </w:tcBorders>
            <w:shd w:val="clear" w:color="000000" w:fill="EDEDED"/>
            <w:vAlign w:val="center"/>
          </w:tcPr>
          <w:p w14:paraId="1D3AE735" w14:textId="6C320869" w:rsidR="00521352" w:rsidRPr="00D950FD" w:rsidRDefault="00521352" w:rsidP="00521352">
            <w:pPr>
              <w:widowControl/>
              <w:tabs>
                <w:tab w:val="clear" w:pos="7088"/>
              </w:tabs>
              <w:spacing w:after="0"/>
              <w:ind w:left="0"/>
              <w:jc w:val="center"/>
              <w:rPr>
                <w:rFonts w:ascii="Calibri" w:hAnsi="Calibri" w:cs="Calibri"/>
                <w:snapToGrid/>
                <w:color w:val="000000" w:themeColor="text1"/>
                <w:szCs w:val="22"/>
                <w:lang w:val="en-US" w:eastAsia="en-US"/>
              </w:rPr>
            </w:pPr>
            <w:r w:rsidRPr="00D950FD">
              <w:rPr>
                <w:rFonts w:ascii="Calibri" w:hAnsi="Calibri" w:cs="Calibri"/>
                <w:color w:val="000000"/>
                <w:szCs w:val="22"/>
              </w:rPr>
              <w:t> </w:t>
            </w:r>
          </w:p>
        </w:tc>
      </w:tr>
    </w:tbl>
    <w:p w14:paraId="380DABA8" w14:textId="77777777" w:rsidR="00042038" w:rsidRDefault="00042038" w:rsidP="00925DDD"/>
    <w:p w14:paraId="491F4D3D" w14:textId="77777777" w:rsidR="00042038" w:rsidRDefault="00042038" w:rsidP="00925DDD"/>
    <w:p w14:paraId="7852CC40" w14:textId="77777777" w:rsidR="00042038" w:rsidRDefault="00042038" w:rsidP="00925DDD"/>
    <w:p w14:paraId="1BA00C34" w14:textId="77777777" w:rsidR="008E4627" w:rsidRDefault="008E4627" w:rsidP="00925DDD"/>
    <w:p w14:paraId="587B2962" w14:textId="77777777" w:rsidR="008E4627" w:rsidRDefault="008E4627" w:rsidP="008E4627">
      <w:pPr>
        <w:ind w:left="0"/>
        <w:sectPr w:rsidR="008E4627" w:rsidSect="00077526">
          <w:pgSz w:w="16838" w:h="11906" w:orient="landscape"/>
          <w:pgMar w:top="1417" w:right="1135" w:bottom="849" w:left="1276" w:header="720" w:footer="720" w:gutter="0"/>
          <w:cols w:space="720"/>
          <w:docGrid w:linePitch="299"/>
        </w:sectPr>
      </w:pPr>
    </w:p>
    <w:p w14:paraId="75B9F96F" w14:textId="77777777" w:rsidR="00B06FAA" w:rsidRDefault="00B06FAA" w:rsidP="00217796"/>
    <w:p w14:paraId="3D1B7139" w14:textId="133EF833" w:rsidR="00D802B6" w:rsidRPr="00332425" w:rsidRDefault="00122F05" w:rsidP="00217796">
      <w:pPr>
        <w:pStyle w:val="berschrift1"/>
      </w:pPr>
      <w:r w:rsidRPr="00332425">
        <w:t>CMC</w:t>
      </w:r>
      <w:r w:rsidR="007A201D">
        <w:t xml:space="preserve"> topics</w:t>
      </w:r>
    </w:p>
    <w:p w14:paraId="43A2974F" w14:textId="46EB409F" w:rsidR="009E3F37" w:rsidRDefault="009E3F37" w:rsidP="000F24F0">
      <w:pPr>
        <w:pStyle w:val="berschrift2"/>
      </w:pPr>
      <w:r>
        <w:t>Feedback from KC</w:t>
      </w:r>
      <w:r w:rsidR="007E6AB9">
        <w:t>WG meeting</w:t>
      </w:r>
      <w:r w:rsidR="008C120B">
        <w:t xml:space="preserve"> </w:t>
      </w:r>
      <w:r w:rsidR="008031A8">
        <w:t xml:space="preserve">/ </w:t>
      </w:r>
      <w:r w:rsidR="007E6AB9">
        <w:t>c</w:t>
      </w:r>
      <w:r w:rsidR="008031A8">
        <w:t>ycle XXVI CMC review</w:t>
      </w:r>
    </w:p>
    <w:p w14:paraId="543CADD3" w14:textId="762D08B9" w:rsidR="0007450A" w:rsidRDefault="00546FC4" w:rsidP="009E3F37">
      <w:r w:rsidRPr="00546FC4">
        <w:t>A. Sobina reported that no additional CMC issues have arisen. According to information from the KCWG secretariat, nine new CMCs from the EAWG were recently published in the KCDB.</w:t>
      </w:r>
    </w:p>
    <w:p w14:paraId="27FE13C5" w14:textId="49913744" w:rsidR="00DB37E8" w:rsidRDefault="00546FC4" w:rsidP="009E3F37">
      <w:r>
        <w:t>T</w:t>
      </w:r>
      <w:r w:rsidR="00D159B3">
        <w:t xml:space="preserve">he re-review process of existing CMCs is too laborious for KCWG and cannot be accomplished </w:t>
      </w:r>
      <w:r w:rsidR="000066B7">
        <w:t xml:space="preserve">regularly </w:t>
      </w:r>
      <w:r w:rsidR="00D159B3">
        <w:t xml:space="preserve">within a reasonable </w:t>
      </w:r>
      <w:proofErr w:type="gramStart"/>
      <w:r w:rsidR="000066B7">
        <w:t>period</w:t>
      </w:r>
      <w:r w:rsidR="00D159B3">
        <w:t xml:space="preserve"> of time</w:t>
      </w:r>
      <w:proofErr w:type="gramEnd"/>
      <w:r w:rsidR="00D159B3">
        <w:t>. CCQM-</w:t>
      </w:r>
      <w:r w:rsidR="00B41433">
        <w:t>WG</w:t>
      </w:r>
      <w:r w:rsidR="00CE6E43">
        <w:t>s</w:t>
      </w:r>
      <w:r w:rsidR="00B41433">
        <w:t xml:space="preserve"> </w:t>
      </w:r>
      <w:r>
        <w:t xml:space="preserve">have therefore been </w:t>
      </w:r>
      <w:r w:rsidR="00B41433">
        <w:t xml:space="preserve">asked to establish a process for the re-review and the greying out of </w:t>
      </w:r>
      <w:r w:rsidR="00963664">
        <w:t xml:space="preserve">old CMCs. </w:t>
      </w:r>
      <w:r w:rsidR="00CE6E43">
        <w:t xml:space="preserve">N. Oganyan, A. Sobina, </w:t>
      </w:r>
      <w:r w:rsidR="005455BB">
        <w:t xml:space="preserve">K. Jo and S. Seitz </w:t>
      </w:r>
      <w:r>
        <w:t>have connected</w:t>
      </w:r>
      <w:r w:rsidR="005455BB">
        <w:t xml:space="preserve"> online </w:t>
      </w:r>
      <w:r>
        <w:t>on 10</w:t>
      </w:r>
      <w:r w:rsidRPr="00546FC4">
        <w:rPr>
          <w:vertAlign w:val="superscript"/>
        </w:rPr>
        <w:t>th</w:t>
      </w:r>
      <w:r>
        <w:t xml:space="preserve"> September </w:t>
      </w:r>
      <w:r w:rsidR="005455BB">
        <w:t>to devise a process</w:t>
      </w:r>
      <w:r w:rsidR="00687B7B">
        <w:t xml:space="preserve">. </w:t>
      </w:r>
      <w:r>
        <w:t>The basic steps of the procedure have been presented by S. Seitz:</w:t>
      </w:r>
    </w:p>
    <w:p w14:paraId="246FA397" w14:textId="7F3292D5" w:rsidR="00546FC4" w:rsidRDefault="00546FC4" w:rsidP="00546FC4">
      <w:pPr>
        <w:pStyle w:val="Listenabsatz"/>
        <w:numPr>
          <w:ilvl w:val="0"/>
          <w:numId w:val="16"/>
        </w:numPr>
        <w:rPr>
          <w:lang w:val="en-US"/>
        </w:rPr>
      </w:pPr>
      <w:r w:rsidRPr="00546FC4">
        <w:rPr>
          <w:lang w:val="en-US"/>
        </w:rPr>
        <w:t xml:space="preserve">For each new key comparison, the corresponding coordinator will </w:t>
      </w:r>
      <w:r w:rsidR="00685D93">
        <w:rPr>
          <w:lang w:val="en-US"/>
        </w:rPr>
        <w:t xml:space="preserve">identify the </w:t>
      </w:r>
      <w:proofErr w:type="gramStart"/>
      <w:r w:rsidR="00685D93">
        <w:rPr>
          <w:lang w:val="en-US"/>
        </w:rPr>
        <w:t>institutes</w:t>
      </w:r>
      <w:proofErr w:type="gramEnd"/>
      <w:r w:rsidR="00685D93">
        <w:rPr>
          <w:lang w:val="en-US"/>
        </w:rPr>
        <w:t xml:space="preserve"> the </w:t>
      </w:r>
      <w:proofErr w:type="gramStart"/>
      <w:r w:rsidR="00685D93">
        <w:rPr>
          <w:lang w:val="en-US"/>
        </w:rPr>
        <w:t>CMCs</w:t>
      </w:r>
      <w:proofErr w:type="gramEnd"/>
      <w:r w:rsidR="00685D93">
        <w:rPr>
          <w:lang w:val="en-US"/>
        </w:rPr>
        <w:t xml:space="preserve"> of which will require an</w:t>
      </w:r>
      <w:r>
        <w:rPr>
          <w:lang w:val="en-US"/>
        </w:rPr>
        <w:t xml:space="preserve"> update </w:t>
      </w:r>
      <w:r w:rsidR="00685D93">
        <w:rPr>
          <w:lang w:val="en-US"/>
        </w:rPr>
        <w:t xml:space="preserve">of </w:t>
      </w:r>
      <w:r>
        <w:rPr>
          <w:lang w:val="en-US"/>
        </w:rPr>
        <w:t>the supporting KC</w:t>
      </w:r>
      <w:r w:rsidRPr="00546FC4">
        <w:rPr>
          <w:lang w:val="en-US"/>
        </w:rPr>
        <w:t>.</w:t>
      </w:r>
    </w:p>
    <w:p w14:paraId="3245F96D" w14:textId="24C6311E" w:rsidR="00546FC4" w:rsidRDefault="00546FC4" w:rsidP="00546FC4">
      <w:pPr>
        <w:pStyle w:val="Listenabsatz"/>
        <w:numPr>
          <w:ilvl w:val="0"/>
          <w:numId w:val="16"/>
        </w:numPr>
        <w:rPr>
          <w:lang w:val="en-US"/>
        </w:rPr>
      </w:pPr>
      <w:r w:rsidRPr="00546FC4">
        <w:rPr>
          <w:lang w:val="en-US"/>
        </w:rPr>
        <w:t xml:space="preserve">To facilitate this, the EAWG record file will be expanded by a table listing all </w:t>
      </w:r>
      <w:r w:rsidR="00685D93">
        <w:rPr>
          <w:lang w:val="en-US"/>
        </w:rPr>
        <w:t>KCs</w:t>
      </w:r>
      <w:r w:rsidRPr="00546FC4">
        <w:rPr>
          <w:lang w:val="en-US"/>
        </w:rPr>
        <w:t>, the participating institutes, and the related CMCs. Once established, this table will only require minor maintenance after each new comparison or CMC update.</w:t>
      </w:r>
    </w:p>
    <w:p w14:paraId="69514E92" w14:textId="486677DC" w:rsidR="000D2395" w:rsidRDefault="000D2395" w:rsidP="000D2395">
      <w:pPr>
        <w:pStyle w:val="Listenabsatz"/>
        <w:numPr>
          <w:ilvl w:val="0"/>
          <w:numId w:val="16"/>
        </w:numPr>
        <w:rPr>
          <w:lang w:val="en-US"/>
        </w:rPr>
      </w:pPr>
      <w:r w:rsidRPr="00546FC4">
        <w:rPr>
          <w:lang w:val="en-US"/>
        </w:rPr>
        <w:t xml:space="preserve">There will be no general expiry period for CMCs: previous KCs remain valid </w:t>
      </w:r>
      <w:r>
        <w:rPr>
          <w:lang w:val="en-US"/>
        </w:rPr>
        <w:t xml:space="preserve">support for CMCs </w:t>
      </w:r>
      <w:r w:rsidRPr="00546FC4">
        <w:rPr>
          <w:lang w:val="en-US"/>
        </w:rPr>
        <w:t>until replaced by a new one.</w:t>
      </w:r>
    </w:p>
    <w:p w14:paraId="47603E00" w14:textId="515FB634" w:rsidR="00546FC4" w:rsidRPr="000D2395" w:rsidRDefault="000D2395" w:rsidP="00DC3D34">
      <w:pPr>
        <w:pStyle w:val="Listenabsatz"/>
        <w:numPr>
          <w:ilvl w:val="0"/>
          <w:numId w:val="16"/>
        </w:numPr>
        <w:rPr>
          <w:lang w:val="en-US"/>
        </w:rPr>
      </w:pPr>
      <w:r w:rsidRPr="000D2395">
        <w:rPr>
          <w:lang w:val="en-US"/>
        </w:rPr>
        <w:t>A KC report that become</w:t>
      </w:r>
      <w:r>
        <w:rPr>
          <w:lang w:val="en-US"/>
        </w:rPr>
        <w:t>s</w:t>
      </w:r>
      <w:r w:rsidRPr="000D2395">
        <w:rPr>
          <w:lang w:val="en-US"/>
        </w:rPr>
        <w:t xml:space="preserve"> outdated by newer KC report will be removed from the KCDB three years after the final report of a new comparison covering the same measurand has been published; such reports can then no longer be used as CMC support. </w:t>
      </w:r>
      <w:proofErr w:type="gramStart"/>
      <w:r w:rsidRPr="000D2395">
        <w:rPr>
          <w:lang w:val="en-US"/>
        </w:rPr>
        <w:t>As a consequence</w:t>
      </w:r>
      <w:proofErr w:type="gramEnd"/>
      <w:r w:rsidRPr="000D2395">
        <w:rPr>
          <w:lang w:val="en-US"/>
        </w:rPr>
        <w:t xml:space="preserve">, </w:t>
      </w:r>
      <w:r>
        <w:rPr>
          <w:lang w:val="en-US"/>
        </w:rPr>
        <w:t>i</w:t>
      </w:r>
      <w:r w:rsidR="00546FC4" w:rsidRPr="000D2395">
        <w:rPr>
          <w:lang w:val="en-US"/>
        </w:rPr>
        <w:t xml:space="preserve">nstitutes </w:t>
      </w:r>
      <w:r w:rsidR="00685D93" w:rsidRPr="000D2395">
        <w:rPr>
          <w:lang w:val="en-US"/>
        </w:rPr>
        <w:t>must update their CMCs in alignment with their performance in the new KC</w:t>
      </w:r>
      <w:r>
        <w:rPr>
          <w:lang w:val="en-US"/>
        </w:rPr>
        <w:t xml:space="preserve"> within this period. Likewise</w:t>
      </w:r>
      <w:r w:rsidR="00A62137">
        <w:rPr>
          <w:lang w:val="en-US"/>
        </w:rPr>
        <w:t>, i</w:t>
      </w:r>
      <w:r w:rsidR="00685D93" w:rsidRPr="000D2395">
        <w:rPr>
          <w:lang w:val="en-US"/>
        </w:rPr>
        <w:t xml:space="preserve">nstitutes </w:t>
      </w:r>
      <w:r w:rsidR="00546FC4" w:rsidRPr="000D2395">
        <w:rPr>
          <w:lang w:val="en-US"/>
        </w:rPr>
        <w:t xml:space="preserve">holding relevant CMCs but </w:t>
      </w:r>
      <w:r w:rsidR="00685D93" w:rsidRPr="000D2395">
        <w:rPr>
          <w:lang w:val="en-US"/>
        </w:rPr>
        <w:t xml:space="preserve">did </w:t>
      </w:r>
      <w:r w:rsidR="00546FC4" w:rsidRPr="000D2395">
        <w:rPr>
          <w:lang w:val="en-US"/>
        </w:rPr>
        <w:t>not participat</w:t>
      </w:r>
      <w:r w:rsidR="00685D93" w:rsidRPr="000D2395">
        <w:rPr>
          <w:lang w:val="en-US"/>
        </w:rPr>
        <w:t>e</w:t>
      </w:r>
      <w:r w:rsidR="00546FC4" w:rsidRPr="000D2395">
        <w:rPr>
          <w:lang w:val="en-US"/>
        </w:rPr>
        <w:t xml:space="preserve"> in </w:t>
      </w:r>
      <w:r w:rsidR="00685D93" w:rsidRPr="000D2395">
        <w:rPr>
          <w:lang w:val="en-US"/>
        </w:rPr>
        <w:t xml:space="preserve">a corresponding </w:t>
      </w:r>
      <w:r w:rsidR="00546FC4" w:rsidRPr="000D2395">
        <w:rPr>
          <w:lang w:val="en-US"/>
        </w:rPr>
        <w:t>new comparison</w:t>
      </w:r>
      <w:r w:rsidR="00685D93" w:rsidRPr="000D2395">
        <w:rPr>
          <w:lang w:val="en-US"/>
        </w:rPr>
        <w:t xml:space="preserve"> </w:t>
      </w:r>
      <w:r>
        <w:rPr>
          <w:lang w:val="en-US"/>
        </w:rPr>
        <w:t>must provide new evidence</w:t>
      </w:r>
      <w:r w:rsidR="00546FC4" w:rsidRPr="000D2395">
        <w:rPr>
          <w:lang w:val="en-US"/>
        </w:rPr>
        <w:t xml:space="preserve"> </w:t>
      </w:r>
      <w:r w:rsidR="00685D93" w:rsidRPr="000D2395">
        <w:rPr>
          <w:lang w:val="en-US"/>
        </w:rPr>
        <w:t xml:space="preserve">supporting </w:t>
      </w:r>
      <w:r>
        <w:rPr>
          <w:lang w:val="en-US"/>
        </w:rPr>
        <w:t>the CMC in accordance with the CMC guidelines</w:t>
      </w:r>
      <w:r w:rsidR="00685D93" w:rsidRPr="000D2395">
        <w:rPr>
          <w:lang w:val="en-US"/>
        </w:rPr>
        <w:t xml:space="preserve">, e.g. by </w:t>
      </w:r>
      <w:r w:rsidR="00546FC4" w:rsidRPr="000D2395">
        <w:rPr>
          <w:lang w:val="en-US"/>
        </w:rPr>
        <w:t>participat</w:t>
      </w:r>
      <w:r w:rsidR="00685D93" w:rsidRPr="000D2395">
        <w:rPr>
          <w:lang w:val="en-US"/>
        </w:rPr>
        <w:t>ing</w:t>
      </w:r>
      <w:r w:rsidR="00546FC4" w:rsidRPr="000D2395">
        <w:rPr>
          <w:lang w:val="en-US"/>
        </w:rPr>
        <w:t xml:space="preserve"> in a bilateral comparison. If </w:t>
      </w:r>
      <w:r>
        <w:rPr>
          <w:lang w:val="en-US"/>
        </w:rPr>
        <w:t>institutes do not comply with these requirement</w:t>
      </w:r>
      <w:r w:rsidR="002A7093">
        <w:rPr>
          <w:lang w:val="en-US"/>
        </w:rPr>
        <w:t>s</w:t>
      </w:r>
      <w:r>
        <w:rPr>
          <w:lang w:val="en-US"/>
        </w:rPr>
        <w:t>, their concerned</w:t>
      </w:r>
      <w:r w:rsidR="00546FC4" w:rsidRPr="000D2395">
        <w:rPr>
          <w:lang w:val="en-US"/>
        </w:rPr>
        <w:t xml:space="preserve"> CMC</w:t>
      </w:r>
      <w:r>
        <w:rPr>
          <w:lang w:val="en-US"/>
        </w:rPr>
        <w:t>s</w:t>
      </w:r>
      <w:r w:rsidR="00546FC4" w:rsidRPr="000D2395">
        <w:rPr>
          <w:lang w:val="en-US"/>
        </w:rPr>
        <w:t xml:space="preserve"> will be greyed out.</w:t>
      </w:r>
    </w:p>
    <w:p w14:paraId="07EF4571" w14:textId="12446300" w:rsidR="00546FC4" w:rsidRDefault="00546FC4" w:rsidP="00546FC4">
      <w:pPr>
        <w:pStyle w:val="Listenabsatz"/>
        <w:numPr>
          <w:ilvl w:val="0"/>
          <w:numId w:val="16"/>
        </w:numPr>
        <w:rPr>
          <w:lang w:val="en-US"/>
        </w:rPr>
      </w:pPr>
      <w:r w:rsidRPr="00546FC4">
        <w:rPr>
          <w:lang w:val="en-US"/>
        </w:rPr>
        <w:t>In cases of major staff changes, no automatic greying-out will occur; instead, institutes must document adequate knowledge transfer, and the EAWG may review performance in subsequent comparisons on a case-by-case basis.</w:t>
      </w:r>
      <w:r w:rsidR="000D2395">
        <w:rPr>
          <w:lang w:val="en-US"/>
        </w:rPr>
        <w:t xml:space="preserve"> Evidence for adequate knowledge transfer in case of staff changes should be verified during the regular on-site reviews of the QM system.</w:t>
      </w:r>
    </w:p>
    <w:p w14:paraId="75119300" w14:textId="091DC31C" w:rsidR="00546FC4" w:rsidRPr="00546FC4" w:rsidRDefault="00546FC4" w:rsidP="00546FC4">
      <w:pPr>
        <w:pStyle w:val="Listenabsatz"/>
        <w:numPr>
          <w:ilvl w:val="0"/>
          <w:numId w:val="16"/>
        </w:numPr>
        <w:rPr>
          <w:lang w:val="en-US"/>
        </w:rPr>
      </w:pPr>
      <w:r w:rsidRPr="00546FC4">
        <w:rPr>
          <w:lang w:val="en-US"/>
        </w:rPr>
        <w:t xml:space="preserve">The </w:t>
      </w:r>
      <w:r w:rsidR="000D2395">
        <w:rPr>
          <w:lang w:val="en-US"/>
        </w:rPr>
        <w:t xml:space="preserve">KC </w:t>
      </w:r>
      <w:r w:rsidRPr="00546FC4">
        <w:rPr>
          <w:lang w:val="en-US"/>
        </w:rPr>
        <w:t>list maintained by KCWG and circulated annually to the WG chairs must be kept up-to-date, particularly concerning outdated comparisons.</w:t>
      </w:r>
    </w:p>
    <w:p w14:paraId="55265D76" w14:textId="7A305B48" w:rsidR="007D060D" w:rsidRPr="00546FC4" w:rsidRDefault="00546FC4" w:rsidP="009C6292">
      <w:pPr>
        <w:rPr>
          <w:lang w:val="en-US"/>
        </w:rPr>
      </w:pPr>
      <w:r w:rsidRPr="00546FC4">
        <w:rPr>
          <w:lang w:val="en-US"/>
        </w:rPr>
        <w:t>S. Seitz</w:t>
      </w:r>
      <w:r w:rsidR="001D6F8A">
        <w:rPr>
          <w:lang w:val="en-US"/>
        </w:rPr>
        <w:t xml:space="preserve"> </w:t>
      </w:r>
      <w:r w:rsidR="001D6F8A" w:rsidRPr="001D6F8A">
        <w:t>has incorporated the procedure into the CMC guidelines</w:t>
      </w:r>
      <w:r w:rsidR="001D6F8A">
        <w:t xml:space="preserve"> (v17)</w:t>
      </w:r>
    </w:p>
    <w:p w14:paraId="2664AA2F" w14:textId="0169180C" w:rsidR="000F24F0" w:rsidRDefault="000F24F0" w:rsidP="000F24F0">
      <w:pPr>
        <w:pStyle w:val="berschrift2"/>
      </w:pPr>
      <w:r>
        <w:t xml:space="preserve">Revision of CMC guidelines </w:t>
      </w:r>
      <w:r w:rsidR="00DF1470">
        <w:t>draft-</w:t>
      </w:r>
      <w:r>
        <w:t>v1</w:t>
      </w:r>
      <w:r w:rsidR="008031A8">
        <w:t>7</w:t>
      </w:r>
    </w:p>
    <w:p w14:paraId="7BF047DC" w14:textId="268E6E9E" w:rsidR="00E00EDA" w:rsidRDefault="001D6F8A" w:rsidP="0084105A">
      <w:r w:rsidRPr="001D6F8A">
        <w:t>A revised version of the CMC guidelines (Draft V17) has been made available in a cloud folder for review by the group.</w:t>
      </w:r>
      <w:r>
        <w:t xml:space="preserve"> </w:t>
      </w:r>
      <w:r w:rsidR="007A201D">
        <w:t>A</w:t>
      </w:r>
      <w:r w:rsidR="00330A43">
        <w:t xml:space="preserve">ll parts that are related to KCs </w:t>
      </w:r>
      <w:r>
        <w:t xml:space="preserve">have been </w:t>
      </w:r>
      <w:proofErr w:type="spellStart"/>
      <w:r w:rsidR="00330A43" w:rsidRPr="00330A43">
        <w:t>be</w:t>
      </w:r>
      <w:r>
        <w:t>en</w:t>
      </w:r>
      <w:proofErr w:type="spellEnd"/>
      <w:r w:rsidR="00330A43" w:rsidRPr="00330A43">
        <w:t xml:space="preserve"> moved to the KC guidelines, resulting in a substantially revised edition to be circulated before the next spring meeting.</w:t>
      </w:r>
    </w:p>
    <w:p w14:paraId="5408F60A" w14:textId="55D2A0F5" w:rsidR="00E24B13" w:rsidRDefault="00E24B13" w:rsidP="00203676">
      <w:pPr>
        <w:pStyle w:val="berschrift2"/>
      </w:pPr>
      <w:r>
        <w:t xml:space="preserve">EAWG </w:t>
      </w:r>
      <w:r w:rsidR="00860120">
        <w:t>comparison</w:t>
      </w:r>
      <w:r>
        <w:t xml:space="preserve"> guidelines</w:t>
      </w:r>
    </w:p>
    <w:p w14:paraId="2133AF33" w14:textId="62DB6928" w:rsidR="00F5544E" w:rsidRPr="00546FC4" w:rsidRDefault="00203520" w:rsidP="00546FC4">
      <w:pPr>
        <w:rPr>
          <w:lang w:val="en-US"/>
        </w:rPr>
      </w:pPr>
      <w:r>
        <w:t>S. S</w:t>
      </w:r>
      <w:r w:rsidR="004115EE">
        <w:t xml:space="preserve">eitz has prepared a draft of </w:t>
      </w:r>
      <w:r w:rsidR="00A70746">
        <w:t>guidelines for the conduction of comparisons under the umbrella of EAWG</w:t>
      </w:r>
      <w:r w:rsidR="00B67710">
        <w:t xml:space="preserve">, which had been discussed at the meeting in April. </w:t>
      </w:r>
      <w:r w:rsidR="00871F97">
        <w:t>The</w:t>
      </w:r>
      <w:r w:rsidR="00571FB9">
        <w:t xml:space="preserve"> guidelines</w:t>
      </w:r>
      <w:r w:rsidR="00871F97">
        <w:t xml:space="preserve"> </w:t>
      </w:r>
      <w:r w:rsidR="00571FB9">
        <w:t xml:space="preserve">aim to address issues that </w:t>
      </w:r>
      <w:r w:rsidR="00F3398A">
        <w:t xml:space="preserve">are specific to EAWG comparisons and that </w:t>
      </w:r>
      <w:r w:rsidR="00571FB9">
        <w:t>not covered by the general guidance documents issued by CCQM and CIPM.</w:t>
      </w:r>
      <w:r w:rsidR="00B67710">
        <w:t xml:space="preserve"> C</w:t>
      </w:r>
      <w:r w:rsidR="00B67710" w:rsidRPr="00B67710">
        <w:t xml:space="preserve">ontributions have been provided by D. </w:t>
      </w:r>
      <w:r w:rsidR="00B67710">
        <w:t>Nagy</w:t>
      </w:r>
      <w:r w:rsidR="00B67710" w:rsidRPr="00B67710">
        <w:t xml:space="preserve"> on </w:t>
      </w:r>
      <w:r w:rsidR="00B67710">
        <w:t xml:space="preserve">mass measurements for sample </w:t>
      </w:r>
      <w:r w:rsidR="00B67710" w:rsidRPr="00B67710">
        <w:t>integrity</w:t>
      </w:r>
      <w:r w:rsidR="00B67710">
        <w:t xml:space="preserve"> testing</w:t>
      </w:r>
      <w:r w:rsidR="00B67710" w:rsidRPr="00B67710">
        <w:t xml:space="preserve">, and by J. </w:t>
      </w:r>
      <w:proofErr w:type="spellStart"/>
      <w:r w:rsidR="00B67710">
        <w:t>Dumanska</w:t>
      </w:r>
      <w:proofErr w:type="spellEnd"/>
      <w:r w:rsidR="00B67710" w:rsidRPr="00B67710">
        <w:t xml:space="preserve"> on stability testing. Inputs from G. Capitaine on homogeneity studies and from S. Seitz on minimal uncertainties </w:t>
      </w:r>
      <w:r w:rsidR="001D6F8A">
        <w:t>have also been completed</w:t>
      </w:r>
      <w:r w:rsidR="00B67710" w:rsidRPr="00B67710">
        <w:t>. A complete draft of the revised KC guidelines</w:t>
      </w:r>
      <w:r w:rsidR="001D6F8A">
        <w:t xml:space="preserve"> </w:t>
      </w:r>
      <w:r w:rsidR="001D6F8A" w:rsidRPr="001D6F8A">
        <w:t>has been made available in a cloud folder for review by the group.</w:t>
      </w:r>
    </w:p>
    <w:p w14:paraId="274BBB56" w14:textId="288BA2D3" w:rsidR="00750C47" w:rsidRDefault="00750C47" w:rsidP="005A60C2">
      <w:pPr>
        <w:pStyle w:val="berschrift1"/>
      </w:pPr>
      <w:r>
        <w:lastRenderedPageBreak/>
        <w:t>Technical presentations</w:t>
      </w:r>
    </w:p>
    <w:p w14:paraId="010F2004" w14:textId="77777777" w:rsidR="00BD0263" w:rsidRDefault="00BD0263" w:rsidP="00BD0263">
      <w:pPr>
        <w:pStyle w:val="berschrift2"/>
      </w:pPr>
      <w:r w:rsidRPr="006706C4">
        <w:t>Measuring pH at phase interfaces</w:t>
      </w:r>
    </w:p>
    <w:p w14:paraId="3C4BF758" w14:textId="77777777" w:rsidR="00BD0263" w:rsidRDefault="00BD0263" w:rsidP="00BD0263">
      <w:proofErr w:type="spellStart"/>
      <w:r>
        <w:t>Leito</w:t>
      </w:r>
      <w:proofErr w:type="spellEnd"/>
      <w:r>
        <w:t xml:space="preserve"> from the University of Tartu in Estonia gave a presentation on a new project on pH his institute is involved in. It </w:t>
      </w:r>
      <w:proofErr w:type="gramStart"/>
      <w:r>
        <w:t>is been</w:t>
      </w:r>
      <w:proofErr w:type="gramEnd"/>
      <w:r>
        <w:t xml:space="preserve"> assumed that the pH of water is different at interphases compared to the pH in the bulk due to a reorientation of the water dipoles close to the interface. However, up to now, the effect has not been measured due to a variety of technical problems. The group plans to measure the difference in pH using a </w:t>
      </w:r>
      <w:r w:rsidRPr="006F5BA9">
        <w:t xml:space="preserve">set of pairs of </w:t>
      </w:r>
      <w:proofErr w:type="spellStart"/>
      <w:r w:rsidRPr="006F5BA9">
        <w:t>ratiometric</w:t>
      </w:r>
      <w:proofErr w:type="spellEnd"/>
      <w:r w:rsidRPr="006F5BA9">
        <w:t xml:space="preserve"> fluorescent pH indicators</w:t>
      </w:r>
      <w:r>
        <w:t xml:space="preserve">, </w:t>
      </w:r>
      <w:r w:rsidRPr="006F5BA9">
        <w:t>one with hydrophobic “tail” and hydrophilic “head”</w:t>
      </w:r>
      <w:r>
        <w:t xml:space="preserve">, which </w:t>
      </w:r>
      <w:r w:rsidRPr="006F5BA9">
        <w:t>predominantly resides in the interface layer</w:t>
      </w:r>
      <w:r>
        <w:t xml:space="preserve">, and </w:t>
      </w:r>
      <w:r w:rsidRPr="006F5BA9">
        <w:t xml:space="preserve">the other </w:t>
      </w:r>
      <w:proofErr w:type="gramStart"/>
      <w:r w:rsidRPr="006F5BA9">
        <w:t>one  with</w:t>
      </w:r>
      <w:proofErr w:type="gramEnd"/>
      <w:r w:rsidRPr="006F5BA9">
        <w:t xml:space="preserve"> the same hydrophilic “head” and “tail” or no tail at all</w:t>
      </w:r>
      <w:r>
        <w:t xml:space="preserve">, which </w:t>
      </w:r>
      <w:r w:rsidRPr="006F5BA9">
        <w:t>predominantly resides in the bulk phase</w:t>
      </w:r>
      <w:r>
        <w:t xml:space="preserve">. Then the laser excited fluorescence </w:t>
      </w:r>
      <w:r w:rsidRPr="00F10EC8">
        <w:t xml:space="preserve">signal intensities of protonated and deprotonated forms at </w:t>
      </w:r>
      <w:r>
        <w:t xml:space="preserve">different </w:t>
      </w:r>
      <w:r w:rsidRPr="00F10EC8">
        <w:t>wavelengths</w:t>
      </w:r>
      <w:r>
        <w:t xml:space="preserve"> will be </w:t>
      </w:r>
      <w:r w:rsidRPr="00F10EC8">
        <w:t>measured</w:t>
      </w:r>
      <w:r>
        <w:t xml:space="preserve"> as a measure for the difference in </w:t>
      </w:r>
      <w:proofErr w:type="spellStart"/>
      <w:r>
        <w:t>pH.</w:t>
      </w:r>
      <w:proofErr w:type="spellEnd"/>
    </w:p>
    <w:p w14:paraId="495CC628" w14:textId="77777777" w:rsidR="00BD0263" w:rsidRPr="002973FA" w:rsidRDefault="00BD0263" w:rsidP="00BD0263">
      <w:pPr>
        <w:pStyle w:val="berschrift2"/>
      </w:pPr>
      <w:r w:rsidRPr="002973FA">
        <w:t>NIST Cons</w:t>
      </w:r>
      <w:r>
        <w:t>ens</w:t>
      </w:r>
      <w:r w:rsidRPr="002973FA">
        <w:t>us builder and Decision Tree</w:t>
      </w:r>
    </w:p>
    <w:p w14:paraId="072AD403" w14:textId="77777777" w:rsidR="00BD0263" w:rsidRDefault="00BD0263" w:rsidP="00BD0263">
      <w:r>
        <w:t xml:space="preserve">A. </w:t>
      </w:r>
      <w:proofErr w:type="spellStart"/>
      <w:r>
        <w:t>Possolo</w:t>
      </w:r>
      <w:proofErr w:type="spellEnd"/>
      <w:r>
        <w:t xml:space="preserve"> from NIST introduced the NIST decision tree for consensus building (DT-CB) as a tool to evaluate comparison data and calculating key comparison reference values and degrees of equivalence, also considering dark uncertainties. In particular, he has used data from EAWG’s comparisons K19.2018 and K96.2023 to demonstrate the application. A. Sobina, who tested the DT-CB) wanted to know whether n-1 (n being the number of participants in a comparison) is the correct degree of freedom to use. It is, if type A uncertainties can be assumed. This information is however often hardly to extract from measurement reports. She also wanted to know whether dark uncertainty should be assigned to all participants or just to those with inconsistent results. A. </w:t>
      </w:r>
      <w:proofErr w:type="spellStart"/>
      <w:r>
        <w:t>Possolo</w:t>
      </w:r>
      <w:proofErr w:type="spellEnd"/>
      <w:r>
        <w:t xml:space="preserve"> prefers assigning them to all participants, since a KC is a common exercise that reflects the capability of the community rather than that of individual institutes, the results of which might only be accidently close to (or far from) the KCRV from a statistical point of view. A. </w:t>
      </w:r>
      <w:proofErr w:type="spellStart"/>
      <w:r>
        <w:t>Possolo</w:t>
      </w:r>
      <w:proofErr w:type="spellEnd"/>
      <w:r>
        <w:t xml:space="preserve"> also</w:t>
      </w:r>
      <w:r w:rsidRPr="00D113A5">
        <w:t xml:space="preserve"> referred to further literature, which can be accessed via the following links:</w:t>
      </w:r>
    </w:p>
    <w:p w14:paraId="111424A6" w14:textId="77777777" w:rsidR="00BD0263" w:rsidRDefault="00BD0263" w:rsidP="00BD0263">
      <w:pPr>
        <w:ind w:left="426"/>
      </w:pPr>
      <w:r>
        <w:t xml:space="preserve">Decision Tree for Key Comparisons, Antonio Possolo, Amanda Koepke, David Newton, and Michael </w:t>
      </w:r>
      <w:proofErr w:type="spellStart"/>
      <w:proofErr w:type="gramStart"/>
      <w:r>
        <w:t>R.Winchester</w:t>
      </w:r>
      <w:proofErr w:type="spellEnd"/>
      <w:proofErr w:type="gramEnd"/>
      <w:r>
        <w:t>, available at https://doi.org/10.6028/jres.126.007</w:t>
      </w:r>
    </w:p>
    <w:p w14:paraId="4CCEB890" w14:textId="77777777" w:rsidR="00BD0263" w:rsidRDefault="00BD0263" w:rsidP="00BD0263">
      <w:pPr>
        <w:ind w:left="426"/>
      </w:pPr>
      <w:r>
        <w:t>Consensus building for interlaboratory studies, key comparisons, and meta-analysis, Amanda Koepke, Thomas Lafarge, Antonio Possolo and Blaza Toman, available at https://doi.org/10.1088/1681-7575/aa6c0e</w:t>
      </w:r>
    </w:p>
    <w:p w14:paraId="318B585C" w14:textId="77777777" w:rsidR="00BD0263" w:rsidRPr="00A00FDA" w:rsidRDefault="00BD0263" w:rsidP="00BD0263">
      <w:r>
        <w:t xml:space="preserve">S. Seitz interrupted further discussion since he feared that the meeting would run out of time. He would invite A. </w:t>
      </w:r>
      <w:proofErr w:type="spellStart"/>
      <w:r>
        <w:t>Possolo</w:t>
      </w:r>
      <w:proofErr w:type="spellEnd"/>
      <w:r>
        <w:t xml:space="preserve"> again for the autumn meeting for a deeper discussion, or to a separate meeting. EAWG members are asked to try out the DT-CB, form an opinion and prepare questions. It can be accessed here: </w:t>
      </w:r>
      <w:r w:rsidRPr="00050EAC">
        <w:t>https://decisiontree.nist.gov/</w:t>
      </w:r>
    </w:p>
    <w:p w14:paraId="180E8B9F" w14:textId="77777777" w:rsidR="00BD0263" w:rsidRPr="00BD0263" w:rsidRDefault="00BD0263" w:rsidP="00BD0263"/>
    <w:p w14:paraId="358C90BB" w14:textId="38A258CF" w:rsidR="002973FA" w:rsidRDefault="00E613BC" w:rsidP="002973FA">
      <w:pPr>
        <w:pStyle w:val="berschrift2"/>
      </w:pPr>
      <w:r w:rsidRPr="00E613BC">
        <w:t>Results of the EPM project “</w:t>
      </w:r>
      <w:proofErr w:type="spellStart"/>
      <w:r w:rsidRPr="00E613BC">
        <w:t>OpMetBat</w:t>
      </w:r>
      <w:proofErr w:type="spellEnd"/>
      <w:r w:rsidRPr="00E613BC">
        <w:t>”</w:t>
      </w:r>
    </w:p>
    <w:p w14:paraId="3384818C" w14:textId="743BD247" w:rsidR="00E613BC" w:rsidRPr="00E613BC" w:rsidRDefault="00E613BC" w:rsidP="00E613BC">
      <w:pPr>
        <w:pStyle w:val="StandardWeb"/>
        <w:rPr>
          <w:rFonts w:ascii="Arial" w:hAnsi="Arial"/>
          <w:snapToGrid w:val="0"/>
          <w:sz w:val="22"/>
          <w:szCs w:val="20"/>
          <w:lang w:val="en-GB" w:eastAsia="sk-SK"/>
        </w:rPr>
      </w:pPr>
      <w:r w:rsidRPr="00E613BC">
        <w:rPr>
          <w:rFonts w:ascii="Arial" w:hAnsi="Arial"/>
          <w:snapToGrid w:val="0"/>
          <w:sz w:val="22"/>
          <w:szCs w:val="20"/>
          <w:lang w:val="en-GB" w:eastAsia="sk-SK"/>
        </w:rPr>
        <w:t xml:space="preserve">A. Wain (NPL) reported on the EURAMET EPM project “OPMETBAT,” a 20-partner effort to develop operando metrology for battery materials. The work spanned four </w:t>
      </w:r>
      <w:r>
        <w:rPr>
          <w:rFonts w:ascii="Arial" w:hAnsi="Arial"/>
          <w:snapToGrid w:val="0"/>
          <w:sz w:val="22"/>
          <w:szCs w:val="20"/>
          <w:lang w:val="en-GB" w:eastAsia="sk-SK"/>
        </w:rPr>
        <w:t xml:space="preserve">work </w:t>
      </w:r>
      <w:r w:rsidRPr="00E613BC">
        <w:rPr>
          <w:rFonts w:ascii="Arial" w:hAnsi="Arial"/>
          <w:snapToGrid w:val="0"/>
          <w:sz w:val="22"/>
          <w:szCs w:val="20"/>
          <w:lang w:val="en-GB" w:eastAsia="sk-SK"/>
        </w:rPr>
        <w:t>packages: ex-situ characterization methods; best-practice and harmonization; operando electrochemical impedance spectroscopy (EIS) under dynamic cycling; and multimodal operando instrumentation. Highlights included improved quantification of transition metals in electrodes via XPS (handling Auger interferences), calibration work to interpret SIMS sputter yields, post-mortem and operando XRF/XAFS tracking of transition-metal crossover, and an operando cell enabling Raman/X-ray measurements with repeatable electrochemistry (with some performance trade-offs versus coin cells). Model</w:t>
      </w:r>
      <w:r w:rsidR="001C31F1">
        <w:rPr>
          <w:rFonts w:ascii="Arial" w:hAnsi="Arial"/>
          <w:snapToGrid w:val="0"/>
          <w:sz w:val="22"/>
          <w:szCs w:val="20"/>
          <w:lang w:val="en-GB" w:eastAsia="sk-SK"/>
        </w:rPr>
        <w:t>l</w:t>
      </w:r>
      <w:r w:rsidRPr="00E613BC">
        <w:rPr>
          <w:rFonts w:ascii="Arial" w:hAnsi="Arial"/>
          <w:snapToGrid w:val="0"/>
          <w:sz w:val="22"/>
          <w:szCs w:val="20"/>
          <w:lang w:val="en-GB" w:eastAsia="sk-SK"/>
        </w:rPr>
        <w:t>ing showed how optical access (milled apertures) alters lithium distribution and how to minimize artifacts. HZB demonstrated dynamic operando EIS with correction schemes; PTB advanced operando X-ray Raman. Multiple publications and a follow-on project (</w:t>
      </w:r>
      <w:proofErr w:type="spellStart"/>
      <w:r w:rsidRPr="00E613BC">
        <w:rPr>
          <w:rFonts w:ascii="Arial" w:hAnsi="Arial"/>
          <w:snapToGrid w:val="0"/>
          <w:sz w:val="22"/>
          <w:szCs w:val="20"/>
          <w:lang w:val="en-GB" w:eastAsia="sk-SK"/>
        </w:rPr>
        <w:t>HiMetBat</w:t>
      </w:r>
      <w:proofErr w:type="spellEnd"/>
      <w:r w:rsidRPr="00E613BC">
        <w:rPr>
          <w:rFonts w:ascii="Arial" w:hAnsi="Arial"/>
          <w:snapToGrid w:val="0"/>
          <w:sz w:val="22"/>
          <w:szCs w:val="20"/>
          <w:lang w:val="en-GB" w:eastAsia="sk-SK"/>
        </w:rPr>
        <w:t xml:space="preserve">) are </w:t>
      </w:r>
      <w:r w:rsidRPr="00E613BC">
        <w:rPr>
          <w:rFonts w:ascii="Arial" w:hAnsi="Arial"/>
          <w:snapToGrid w:val="0"/>
          <w:sz w:val="22"/>
          <w:szCs w:val="20"/>
          <w:lang w:val="en-GB" w:eastAsia="sk-SK"/>
        </w:rPr>
        <w:lastRenderedPageBreak/>
        <w:t>underway, focusing on multimodal, metrology-grade measurements on commercially relevant systems.</w:t>
      </w:r>
    </w:p>
    <w:p w14:paraId="5DBA9D4E" w14:textId="036CD373" w:rsidR="002256C3" w:rsidRPr="002256C3" w:rsidRDefault="00E613BC" w:rsidP="00E06CF7">
      <w:pPr>
        <w:pStyle w:val="StandardWeb"/>
      </w:pPr>
      <w:r w:rsidRPr="00E613BC">
        <w:rPr>
          <w:rFonts w:ascii="Arial" w:hAnsi="Arial"/>
          <w:snapToGrid w:val="0"/>
          <w:sz w:val="22"/>
          <w:szCs w:val="20"/>
          <w:lang w:val="en-GB" w:eastAsia="sk-SK"/>
        </w:rPr>
        <w:t xml:space="preserve">On scalability of the operando EIS approach, Wain noted the development and demonstrations were at coin-cell scale with small capacitances; extending to full cells would be more challenging, though conceptually elements could </w:t>
      </w:r>
      <w:r>
        <w:rPr>
          <w:rFonts w:ascii="Arial" w:hAnsi="Arial"/>
          <w:snapToGrid w:val="0"/>
          <w:sz w:val="22"/>
          <w:szCs w:val="20"/>
          <w:lang w:val="en-GB" w:eastAsia="sk-SK"/>
        </w:rPr>
        <w:t>be used for</w:t>
      </w:r>
      <w:r w:rsidRPr="00E613BC">
        <w:rPr>
          <w:rFonts w:ascii="Arial" w:hAnsi="Arial"/>
          <w:snapToGrid w:val="0"/>
          <w:sz w:val="22"/>
          <w:szCs w:val="20"/>
          <w:lang w:val="en-GB" w:eastAsia="sk-SK"/>
        </w:rPr>
        <w:t xml:space="preserve"> larger-scale diagnostics. On the spectroscopy work, he emphasized the intent is research and materials development rather than routine industrial monitoring, with a deliberate focus on commercially relevant chemistries and higher TRL where feasible.</w:t>
      </w:r>
      <w:r>
        <w:rPr>
          <w:rFonts w:ascii="Arial" w:hAnsi="Arial"/>
          <w:snapToGrid w:val="0"/>
          <w:sz w:val="22"/>
          <w:szCs w:val="20"/>
          <w:lang w:val="en-GB" w:eastAsia="sk-SK"/>
        </w:rPr>
        <w:t xml:space="preserve"> </w:t>
      </w:r>
      <w:r w:rsidRPr="00E613BC">
        <w:rPr>
          <w:rFonts w:ascii="Arial" w:hAnsi="Arial"/>
          <w:snapToGrid w:val="0"/>
          <w:sz w:val="22"/>
          <w:szCs w:val="20"/>
          <w:lang w:val="en-GB" w:eastAsia="sk-SK"/>
        </w:rPr>
        <w:t>The presentation is available on the EAWG section of the BIPM website.</w:t>
      </w:r>
    </w:p>
    <w:p w14:paraId="6644E527" w14:textId="5B31AB00" w:rsidR="00A00FDA" w:rsidRPr="00A00FDA" w:rsidRDefault="00A00FDA" w:rsidP="00A00FDA"/>
    <w:p w14:paraId="725BB9AA" w14:textId="3DBEAF77" w:rsidR="002D3D59" w:rsidRDefault="00F13C16" w:rsidP="00B37144">
      <w:pPr>
        <w:pStyle w:val="berschrift1"/>
      </w:pPr>
      <w:r>
        <w:t>Task Groups</w:t>
      </w:r>
    </w:p>
    <w:p w14:paraId="3A331446" w14:textId="2757E8C7" w:rsidR="003B115D" w:rsidRDefault="003B115D" w:rsidP="004374F2">
      <w:pPr>
        <w:pStyle w:val="berschrift2"/>
      </w:pPr>
      <w:r>
        <w:t>CCQM Task Group on the revision of CCQM13/22 (estimation of KCRV</w:t>
      </w:r>
      <w:r w:rsidR="004374F2">
        <w:t xml:space="preserve">s, </w:t>
      </w:r>
      <w:proofErr w:type="spellStart"/>
      <w:r w:rsidR="004374F2">
        <w:t>DoEs</w:t>
      </w:r>
      <w:proofErr w:type="spellEnd"/>
      <w:r w:rsidR="004374F2">
        <w:t xml:space="preserve"> and their uncertainties).</w:t>
      </w:r>
    </w:p>
    <w:p w14:paraId="374998B6" w14:textId="204BA839" w:rsidR="00AE6E94" w:rsidRDefault="009F16C7" w:rsidP="00AE6E94">
      <w:r w:rsidRPr="009F16C7">
        <w:t xml:space="preserve">CCQM Task Group on revising CCQM 13/22 (KCRV calculation): P. Borges reported that no meeting has been held yet, but a clearer, practice-oriented draft is in preparation, aiming to illustrate use of the NIST decision tree and “dark uncertainty,” with the principle that all laboratories remain included in KCRV estimation. The draft has not yet been circulated; a meeting is expected later this year, and a small pool of statisticians is proposed to support WGs. In discussion, A. Sobina asked how to set minimum CMC uncertainties under the decision-tree approach (e.g., whether 2·τ applies); S. Seitz noted </w:t>
      </w:r>
      <w:r>
        <w:t xml:space="preserve">A. </w:t>
      </w:r>
      <w:proofErr w:type="spellStart"/>
      <w:r w:rsidRPr="009F16C7">
        <w:t>Possolo</w:t>
      </w:r>
      <w:proofErr w:type="spellEnd"/>
      <w:r w:rsidRPr="009F16C7">
        <w:t xml:space="preserve"> will join </w:t>
      </w:r>
      <w:r>
        <w:t xml:space="preserve">EAWG’s meeting in </w:t>
      </w:r>
      <w:r w:rsidRPr="009F16C7">
        <w:t xml:space="preserve">November </w:t>
      </w:r>
      <w:r>
        <w:t>on KCRV calculation.</w:t>
      </w:r>
    </w:p>
    <w:p w14:paraId="7FA1E4B6" w14:textId="1564EE54" w:rsidR="00893C36" w:rsidRDefault="00893C36" w:rsidP="00893C36">
      <w:pPr>
        <w:pStyle w:val="berschrift2"/>
      </w:pPr>
      <w:r>
        <w:t>CCQM/EAWG TG on the e</w:t>
      </w:r>
      <w:r w:rsidRPr="00893C36">
        <w:t xml:space="preserve">stablishment of metrological traceability for seawater pH and </w:t>
      </w:r>
      <w:proofErr w:type="spellStart"/>
      <w:r w:rsidRPr="00893C36">
        <w:t>pH</w:t>
      </w:r>
      <w:r w:rsidRPr="00893C36">
        <w:rPr>
          <w:vertAlign w:val="subscript"/>
        </w:rPr>
        <w:t>T</w:t>
      </w:r>
      <w:proofErr w:type="spellEnd"/>
      <w:r w:rsidRPr="00893C36">
        <w:t xml:space="preserve"> values</w:t>
      </w:r>
    </w:p>
    <w:p w14:paraId="2095DF2B" w14:textId="7C5939FC" w:rsidR="004374F2" w:rsidRDefault="00DD5D68" w:rsidP="004374F2">
      <w:r>
        <w:t xml:space="preserve">R. </w:t>
      </w:r>
      <w:proofErr w:type="spellStart"/>
      <w:r>
        <w:t>Quendera</w:t>
      </w:r>
      <w:proofErr w:type="spellEnd"/>
      <w:r>
        <w:t xml:space="preserve"> has</w:t>
      </w:r>
      <w:r w:rsidR="0090143A">
        <w:t xml:space="preserve"> given a report on the </w:t>
      </w:r>
      <w:proofErr w:type="gramStart"/>
      <w:r w:rsidR="0090143A">
        <w:t>current status</w:t>
      </w:r>
      <w:proofErr w:type="gramEnd"/>
      <w:r w:rsidR="0090143A">
        <w:t xml:space="preserve"> of the TG.</w:t>
      </w:r>
      <w:r w:rsidR="00490EE4">
        <w:t xml:space="preserve"> </w:t>
      </w:r>
      <w:r w:rsidR="00ED4236" w:rsidRPr="00ED4236">
        <w:t xml:space="preserve">The TG has met in five online meetings this year. The improvement of </w:t>
      </w:r>
      <w:proofErr w:type="spellStart"/>
      <w:r w:rsidR="00ED4236" w:rsidRPr="00ED4236">
        <w:t>pH</w:t>
      </w:r>
      <w:r w:rsidR="00ED4236" w:rsidRPr="00914BDF">
        <w:rPr>
          <w:vertAlign w:val="subscript"/>
        </w:rPr>
        <w:t>T</w:t>
      </w:r>
      <w:proofErr w:type="spellEnd"/>
      <w:r w:rsidR="00ED4236" w:rsidRPr="00ED4236">
        <w:t xml:space="preserve"> measurements is delayed since the report of P221 is still not available yet (see 4.2). </w:t>
      </w:r>
      <w:proofErr w:type="gramStart"/>
      <w:r w:rsidR="00ED4236" w:rsidRPr="00ED4236">
        <w:t>As a consequence</w:t>
      </w:r>
      <w:proofErr w:type="gramEnd"/>
      <w:r w:rsidR="00ED4236" w:rsidRPr="00ED4236">
        <w:t xml:space="preserve">, the TG has decided to evaluate the measurement data of P221 again, independently form the report. A few members of the TG meet with oceanographers prior to the 1st Stakeholder meeting of the CIPM Sectorial Task Group on Climate and Environment in September to discuss the draft of traceability document. They partly disagreed with the proposed route of traceability, mainly for practical reasons. </w:t>
      </w:r>
      <w:proofErr w:type="gramStart"/>
      <w:r w:rsidR="00ED4236" w:rsidRPr="00ED4236">
        <w:t>In particular, they</w:t>
      </w:r>
      <w:proofErr w:type="gramEnd"/>
      <w:r w:rsidR="00ED4236" w:rsidRPr="00ED4236">
        <w:t xml:space="preserve"> prefer to use artificial seawater just for instrument check, but not as calibrant with batch-to-batch characterization. This approach is questionable from a metrological perspective, which has led to some discussion. Afterwards, the TG has revised the document, considering the mentioned concerns. In January, the revised document has been discussed again and accepted. Next a “Quick Guide to Establish metrological Traceability for </w:t>
      </w:r>
      <w:proofErr w:type="spellStart"/>
      <w:r w:rsidR="00ED4236" w:rsidRPr="00ED4236">
        <w:t>pH</w:t>
      </w:r>
      <w:r w:rsidR="00ED4236" w:rsidRPr="00DF315E">
        <w:rPr>
          <w:vertAlign w:val="subscript"/>
        </w:rPr>
        <w:t>T</w:t>
      </w:r>
      <w:proofErr w:type="spellEnd"/>
      <w:r w:rsidR="00ED4236" w:rsidRPr="00ED4236">
        <w:t xml:space="preserve"> measurements” will be prepared and presented to the broader oceanographic community.</w:t>
      </w:r>
    </w:p>
    <w:p w14:paraId="6B184FC6" w14:textId="42404A3E" w:rsidR="001016CA" w:rsidRDefault="006A0A38" w:rsidP="001016CA">
      <w:r>
        <w:t xml:space="preserve">S. Seitz </w:t>
      </w:r>
      <w:proofErr w:type="gramStart"/>
      <w:r>
        <w:t>reported,</w:t>
      </w:r>
      <w:proofErr w:type="gramEnd"/>
      <w:r>
        <w:t xml:space="preserve"> on behalf of R. </w:t>
      </w:r>
      <w:proofErr w:type="spellStart"/>
      <w:r>
        <w:t>Quendera</w:t>
      </w:r>
      <w:proofErr w:type="spellEnd"/>
      <w:r>
        <w:t>, on the progress of the TG for establishing metrological traceability for seawater pH (</w:t>
      </w:r>
      <w:proofErr w:type="spellStart"/>
      <w:r>
        <w:t>pH</w:t>
      </w:r>
      <w:r w:rsidRPr="00FA6FC8">
        <w:rPr>
          <w:vertAlign w:val="subscript"/>
        </w:rPr>
        <w:t>T</w:t>
      </w:r>
      <w:proofErr w:type="spellEnd"/>
      <w:r>
        <w:t xml:space="preserve">). The group has re-evaluated the data of pilot study P221, since the official Draft A report is still pending. A detailed analysis was carried out by F. </w:t>
      </w:r>
      <w:proofErr w:type="spellStart"/>
      <w:r>
        <w:t>Bast</w:t>
      </w:r>
      <w:r w:rsidR="003543F7">
        <w:t>k</w:t>
      </w:r>
      <w:r>
        <w:t>owski</w:t>
      </w:r>
      <w:proofErr w:type="spellEnd"/>
      <w:r>
        <w:t xml:space="preserve"> (PTB). The analysis confirmed that the dispersion of the results is comparable to previous buffer studies, suggesting limited potential for improvement in equivalence, though several specific issues were identified, resulting in recommendations for the up-coming KC. A discrepancy has been observed between P221 results and those of the </w:t>
      </w:r>
      <w:proofErr w:type="spellStart"/>
      <w:r>
        <w:t>SApHTies</w:t>
      </w:r>
      <w:proofErr w:type="spellEnd"/>
      <w:r>
        <w:t xml:space="preserve"> EMPIR project, which are potentially linked to electrode ageing, sample preparation, or calculation differences. Recommendations for the up-coming KC </w:t>
      </w:r>
      <w:proofErr w:type="gramStart"/>
      <w:r>
        <w:t>include</w:t>
      </w:r>
      <w:r w:rsidR="001016CA">
        <w:t>,</w:t>
      </w:r>
      <w:proofErr w:type="gramEnd"/>
      <w:r w:rsidR="001016CA">
        <w:t xml:space="preserve"> i</w:t>
      </w:r>
      <w:r w:rsidR="001016CA" w:rsidRPr="001016CA">
        <w:t>nvestigat</w:t>
      </w:r>
      <w:r w:rsidR="001016CA">
        <w:t>ion of</w:t>
      </w:r>
      <w:r w:rsidR="001016CA" w:rsidRPr="001016CA">
        <w:t xml:space="preserve"> E0* determination (particularly at </w:t>
      </w:r>
      <w:proofErr w:type="spellStart"/>
      <w:r w:rsidR="001016CA" w:rsidRPr="001016CA">
        <w:t>b</w:t>
      </w:r>
      <w:r w:rsidR="001016CA" w:rsidRPr="001016CA">
        <w:rPr>
          <w:vertAlign w:val="subscript"/>
        </w:rPr>
        <w:t>HCl</w:t>
      </w:r>
      <w:proofErr w:type="spellEnd"/>
      <w:r w:rsidR="001016CA" w:rsidRPr="001016CA">
        <w:t xml:space="preserve"> &lt; 0.01 mol.kg</w:t>
      </w:r>
      <w:r w:rsidR="001016CA" w:rsidRPr="001016CA">
        <w:rPr>
          <w:vertAlign w:val="superscript"/>
        </w:rPr>
        <w:t>-1</w:t>
      </w:r>
      <w:r w:rsidR="001016CA" w:rsidRPr="001016CA">
        <w:t>)</w:t>
      </w:r>
      <w:r w:rsidR="001016CA">
        <w:t>, i</w:t>
      </w:r>
      <w:r w:rsidR="001016CA" w:rsidRPr="001016CA">
        <w:t>nvestigat</w:t>
      </w:r>
      <w:r w:rsidR="001016CA">
        <w:t>ion of</w:t>
      </w:r>
      <w:r w:rsidR="001016CA" w:rsidRPr="001016CA">
        <w:t xml:space="preserve"> reproducibility of preparation of the sample and E´ (for E</w:t>
      </w:r>
      <w:r w:rsidR="001016CA" w:rsidRPr="001016CA">
        <w:rPr>
          <w:vertAlign w:val="superscript"/>
        </w:rPr>
        <w:t>0</w:t>
      </w:r>
      <w:r w:rsidR="001016CA" w:rsidRPr="001016CA">
        <w:t>*) solutions</w:t>
      </w:r>
      <w:r w:rsidR="001016CA">
        <w:t>, c</w:t>
      </w:r>
      <w:r w:rsidR="001016CA" w:rsidRPr="001016CA">
        <w:t xml:space="preserve">heck </w:t>
      </w:r>
      <w:r w:rsidR="001016CA">
        <w:t xml:space="preserve">of </w:t>
      </w:r>
      <w:r w:rsidR="001016CA" w:rsidRPr="001016CA">
        <w:t>proper calibration of thermometer</w:t>
      </w:r>
      <w:r w:rsidR="001016CA">
        <w:t>s, h</w:t>
      </w:r>
      <w:r w:rsidR="001016CA" w:rsidRPr="001016CA">
        <w:t>armonize</w:t>
      </w:r>
      <w:r w:rsidR="001016CA">
        <w:t>d</w:t>
      </w:r>
      <w:r w:rsidR="001016CA" w:rsidRPr="001016CA">
        <w:t xml:space="preserve"> uncertainty of </w:t>
      </w:r>
      <w:r w:rsidR="001016CA" w:rsidRPr="001016CA">
        <w:rPr>
          <w:rFonts w:ascii="Cambria Math" w:hAnsi="Cambria Math" w:cs="Cambria Math"/>
        </w:rPr>
        <w:t>𝛾</w:t>
      </w:r>
      <w:r w:rsidR="001016CA" w:rsidRPr="001016CA">
        <w:rPr>
          <w:rFonts w:ascii="Cambria Math" w:hAnsi="Cambria Math" w:cs="Cambria Math"/>
          <w:vertAlign w:val="subscript"/>
        </w:rPr>
        <w:t>𝐻𝐶𝑙</w:t>
      </w:r>
      <w:r w:rsidR="001016CA" w:rsidRPr="001016CA">
        <w:rPr>
          <w:vertAlign w:val="superscript"/>
        </w:rPr>
        <w:t>±</w:t>
      </w:r>
      <w:r w:rsidR="001016CA" w:rsidRPr="001016CA">
        <w:t xml:space="preserve"> (proposal: 0.00058)</w:t>
      </w:r>
      <w:r w:rsidR="001016CA">
        <w:t xml:space="preserve">, and </w:t>
      </w:r>
      <w:r w:rsidR="001016CA" w:rsidRPr="001016CA">
        <w:t>us</w:t>
      </w:r>
      <w:r w:rsidR="001016CA">
        <w:t>age</w:t>
      </w:r>
      <w:r w:rsidR="001016CA" w:rsidRPr="001016CA">
        <w:t xml:space="preserve"> the latest constants (R, F</w:t>
      </w:r>
      <w:r w:rsidR="001016CA">
        <w:t>).</w:t>
      </w:r>
    </w:p>
    <w:p w14:paraId="21BEE324" w14:textId="65E5A8A5" w:rsidR="006A0A38" w:rsidRDefault="006A0A38" w:rsidP="001016CA">
      <w:r>
        <w:t xml:space="preserve">A draft Quick Reference Guide to establish metrological traceability for </w:t>
      </w:r>
      <w:proofErr w:type="spellStart"/>
      <w:r>
        <w:t>pH</w:t>
      </w:r>
      <w:r w:rsidRPr="001016CA">
        <w:rPr>
          <w:vertAlign w:val="subscript"/>
        </w:rPr>
        <w:t>T</w:t>
      </w:r>
      <w:proofErr w:type="spellEnd"/>
      <w:r>
        <w:t xml:space="preserve"> measurements has been discussed within the TG and is nearly finalized, pending clarification on calibration of pH measurement devices. Once completed, it will be shared with the broader oceanographic </w:t>
      </w:r>
      <w:r>
        <w:lastRenderedPageBreak/>
        <w:t xml:space="preserve">community, involving both theoretical and practical experts. Regarding participation in the future key comparison, </w:t>
      </w:r>
      <w:r w:rsidR="00DE4070">
        <w:t xml:space="preserve">S. </w:t>
      </w:r>
      <w:r>
        <w:t>Seitz clarified that while NIST is currently unable to coordinate due to internal administrative constraints, they are welcome to participate, and the exercise will be open to all capable NMIs. Less experienced laboratories might instead join an accompanying pilot study.</w:t>
      </w:r>
    </w:p>
    <w:p w14:paraId="672ADDB9" w14:textId="2F673372" w:rsidR="004374F2" w:rsidRPr="004374F2" w:rsidRDefault="00706562" w:rsidP="00706562">
      <w:pPr>
        <w:pStyle w:val="berschrift2"/>
      </w:pPr>
      <w:r>
        <w:t>CCQM/EAWG TG on Metrology for Li-Ion batteries</w:t>
      </w:r>
    </w:p>
    <w:p w14:paraId="126CFCB7" w14:textId="1293D1D7" w:rsidR="00334791" w:rsidRDefault="00300B9C" w:rsidP="00CC5637">
      <w:r w:rsidRPr="00300B9C">
        <w:t>The TG has meet four times</w:t>
      </w:r>
      <w:r>
        <w:t xml:space="preserve"> since the EAWG meeting</w:t>
      </w:r>
      <w:r w:rsidR="00487EB7">
        <w:t xml:space="preserve"> in spring</w:t>
      </w:r>
      <w:r w:rsidRPr="00300B9C">
        <w:t xml:space="preserve">. A list of potential measurands to be considered in the context of the CIPM-MRA has been established and intensively discussed. Specifying and grouping measurands to be considered in the stakeholder workshop has turned out to be quite difficult due to the variety of technical areas, technical readiness levels, stakeholder interests and allocation in the value chain of Li-ion batteries. Finally, it has been decided that each NMI partner will briefly present its activity, likewise participating stakeholders </w:t>
      </w:r>
      <w:r w:rsidR="006D31A1">
        <w:t xml:space="preserve">will be asked </w:t>
      </w:r>
      <w:r w:rsidRPr="00300B9C">
        <w:t xml:space="preserve">to present their needs with respect to measurement comparability. It has been agreed to prepare in interactive workshop in first place. The TG has decided that the workshop will take place online on September 23 and 24. Currently, the TG is preparing the agenda. In May the members will start to invite selected </w:t>
      </w:r>
      <w:proofErr w:type="gramStart"/>
      <w:r w:rsidRPr="00300B9C">
        <w:t>stakeholders, but</w:t>
      </w:r>
      <w:proofErr w:type="gramEnd"/>
      <w:r w:rsidRPr="00300B9C">
        <w:t xml:space="preserve"> will also advertise for the workshop within their networks. Furthermore, the workshop will be organised in conjunction with a VAMAS project on </w:t>
      </w:r>
      <w:proofErr w:type="spellStart"/>
      <w:r w:rsidRPr="00300B9C">
        <w:t>LiBs</w:t>
      </w:r>
      <w:proofErr w:type="spellEnd"/>
      <w:r w:rsidRPr="00300B9C">
        <w:t xml:space="preserve"> which perfectly complements the scope of the TG. The VAMAS project (VAMAS is the Versailles Project on Advanced Materials and Standards, www.vamas.org), aims to define key metrological parameters for Li-ion cell standardisation and currently organises a comparison measurement for those parameters. The TG did not manage to conclude the objectives yet. Therefore, it is asking CCQM for approval to exten</w:t>
      </w:r>
      <w:r w:rsidR="00C445B5">
        <w:t>d</w:t>
      </w:r>
      <w:r w:rsidRPr="00300B9C">
        <w:t xml:space="preserve"> the runtime of the TG for another year</w:t>
      </w:r>
      <w:r w:rsidR="002534FF">
        <w:t>.</w:t>
      </w:r>
    </w:p>
    <w:p w14:paraId="4F456BD4" w14:textId="62EAF808" w:rsidR="00512521" w:rsidRDefault="001016CA" w:rsidP="00D25EDE">
      <w:r w:rsidRPr="001016CA">
        <w:t>S. Seitz reported that the TG’s main objective—testing whether battery measurands are mature enough for treatment under the CIPM MRA—was ad</w:t>
      </w:r>
      <w:r>
        <w:t>dressed</w:t>
      </w:r>
      <w:r w:rsidRPr="001016CA">
        <w:t xml:space="preserve"> via a two-day online stakeholder workshop held</w:t>
      </w:r>
      <w:r>
        <w:t xml:space="preserve"> 23 and 24 September</w:t>
      </w:r>
      <w:r w:rsidRPr="001016CA">
        <w:t xml:space="preserve">. The event mixed short technical pitches (from NMIs, industry and academia) with live polls and moderated discussions; about 45 participants attended, roughly evenly split across academia, industry and </w:t>
      </w:r>
      <w:r>
        <w:t>NMIs</w:t>
      </w:r>
      <w:r w:rsidRPr="001016CA">
        <w:t>. Despite introductory briefings on the CIPM</w:t>
      </w:r>
      <w:r>
        <w:t>-</w:t>
      </w:r>
      <w:r w:rsidRPr="001016CA">
        <w:t xml:space="preserve">MRA, the debate </w:t>
      </w:r>
      <w:proofErr w:type="spellStart"/>
      <w:r w:rsidRPr="001016CA">
        <w:t>centered</w:t>
      </w:r>
      <w:proofErr w:type="spellEnd"/>
      <w:r w:rsidRPr="001016CA">
        <w:t xml:space="preserve"> less on </w:t>
      </w:r>
      <w:r>
        <w:t>CIPM-</w:t>
      </w:r>
      <w:r w:rsidRPr="001016CA">
        <w:t>MRA alignment and more on metrology needs. Two priority areas emerged: (</w:t>
      </w:r>
      <w:proofErr w:type="spellStart"/>
      <w:r w:rsidRPr="001016CA">
        <w:t>i</w:t>
      </w:r>
      <w:proofErr w:type="spellEnd"/>
      <w:r w:rsidRPr="001016CA">
        <w:t xml:space="preserve">) state-of-health (SOH), where both definition </w:t>
      </w:r>
      <w:r>
        <w:t>of s</w:t>
      </w:r>
      <w:r w:rsidRPr="001016CA">
        <w:t xml:space="preserve">tandardized procedures are still unsettled and widespread proprietary methods may limit industry </w:t>
      </w:r>
      <w:r>
        <w:t>need</w:t>
      </w:r>
      <w:r w:rsidRPr="001016CA">
        <w:t xml:space="preserve"> for comparability; and (ii) materials analysis for recycling, covering composition of “black mass” and purity of recovered components. In both areas, the primary electrical or elemental measurands already have adequate metrological support; the gaps lie in traceable, standardized procedures for the derived quantities. No immediate cross-CC activity is indicated. With the workshop completed, the TG does not plan a roadmap at this stage; instead, </w:t>
      </w:r>
      <w:r w:rsidR="0038246C">
        <w:t xml:space="preserve">S. </w:t>
      </w:r>
      <w:r w:rsidRPr="001016CA">
        <w:t>Seitz will compile the outcomes and propose how CCQM can assist going forward. Given CCQM task groups are time-limited, this TG is expected to be dissolved next spring once the final summary is delivered.</w:t>
      </w:r>
    </w:p>
    <w:p w14:paraId="20E20EA1" w14:textId="68EB1B88" w:rsidR="00617E1A" w:rsidRDefault="00617E1A" w:rsidP="00617E1A">
      <w:pPr>
        <w:pStyle w:val="berschrift2"/>
      </w:pPr>
      <w:r>
        <w:t>Feedback from RMOs</w:t>
      </w:r>
    </w:p>
    <w:p w14:paraId="666BB9F8" w14:textId="05C5EA0C" w:rsidR="006F711D" w:rsidRPr="006F711D" w:rsidRDefault="006F711D" w:rsidP="006F711D">
      <w:pPr>
        <w:rPr>
          <w:lang w:val="en-US"/>
        </w:rPr>
      </w:pPr>
      <w:r w:rsidRPr="006F711D">
        <w:rPr>
          <w:lang w:val="en-US"/>
        </w:rPr>
        <w:t xml:space="preserve">COOMET (N. Oganyan): COOMET’s electrochemistry subcommittee declined a proposed supplementary comparison on pH ≈ 9.2 and nitrate in water because the suggested pilot lab lacked experience. Instead, COOMET plans a regional comparison at pH 6.86 (25 °C) linked to CCQM-K99; samples will be supplied </w:t>
      </w:r>
      <w:r>
        <w:rPr>
          <w:lang w:val="en-US"/>
        </w:rPr>
        <w:t>by the coordinating NMI (VNIIFTRI</w:t>
      </w:r>
      <w:r w:rsidRPr="006F711D">
        <w:rPr>
          <w:lang w:val="en-US"/>
        </w:rPr>
        <w:t xml:space="preserve">, </w:t>
      </w:r>
      <w:r>
        <w:rPr>
          <w:lang w:val="en-US"/>
        </w:rPr>
        <w:t>r</w:t>
      </w:r>
      <w:r w:rsidRPr="006F711D">
        <w:rPr>
          <w:lang w:val="en-US"/>
        </w:rPr>
        <w:t xml:space="preserve">egistration is </w:t>
      </w:r>
      <w:r>
        <w:rPr>
          <w:lang w:val="en-US"/>
        </w:rPr>
        <w:t>possible until</w:t>
      </w:r>
      <w:r w:rsidRPr="006F711D">
        <w:rPr>
          <w:lang w:val="en-US"/>
        </w:rPr>
        <w:t xml:space="preserve"> end of April 2026.</w:t>
      </w:r>
      <w:r>
        <w:rPr>
          <w:lang w:val="en-US"/>
        </w:rPr>
        <w:t xml:space="preserve"> S. Seitz pointed out that i</w:t>
      </w:r>
      <w:r w:rsidRPr="006F711D">
        <w:rPr>
          <w:lang w:val="en-US"/>
        </w:rPr>
        <w:t xml:space="preserve">f </w:t>
      </w:r>
      <w:r>
        <w:rPr>
          <w:lang w:val="en-US"/>
        </w:rPr>
        <w:t>the compar</w:t>
      </w:r>
      <w:r w:rsidR="006C426D">
        <w:rPr>
          <w:lang w:val="en-US"/>
        </w:rPr>
        <w:t>i</w:t>
      </w:r>
      <w:r>
        <w:rPr>
          <w:lang w:val="en-US"/>
        </w:rPr>
        <w:t xml:space="preserve">son </w:t>
      </w:r>
      <w:r w:rsidRPr="006F711D">
        <w:rPr>
          <w:lang w:val="en-US"/>
        </w:rPr>
        <w:t>is to be linked to K99</w:t>
      </w:r>
      <w:r>
        <w:rPr>
          <w:lang w:val="en-US"/>
        </w:rPr>
        <w:t xml:space="preserve">, it </w:t>
      </w:r>
      <w:r w:rsidRPr="006F711D">
        <w:rPr>
          <w:lang w:val="en-US"/>
        </w:rPr>
        <w:t xml:space="preserve">must be registered in the KCDB as a </w:t>
      </w:r>
      <w:r>
        <w:rPr>
          <w:lang w:val="en-US"/>
        </w:rPr>
        <w:t>subsequent</w:t>
      </w:r>
      <w:r w:rsidR="006C426D">
        <w:rPr>
          <w:lang w:val="en-US"/>
        </w:rPr>
        <w:t xml:space="preserve"> RMO</w:t>
      </w:r>
      <w:r w:rsidRPr="006F711D">
        <w:rPr>
          <w:lang w:val="en-US"/>
        </w:rPr>
        <w:t xml:space="preserve"> key comparison linked to K99 and follow CIPM </w:t>
      </w:r>
      <w:r w:rsidR="006C426D">
        <w:rPr>
          <w:lang w:val="en-US"/>
        </w:rPr>
        <w:t>guidelines. D</w:t>
      </w:r>
      <w:r w:rsidRPr="006F711D">
        <w:rPr>
          <w:lang w:val="en-US"/>
        </w:rPr>
        <w:t>etails will be settled by email.</w:t>
      </w:r>
    </w:p>
    <w:p w14:paraId="4DCA4B84" w14:textId="77777777" w:rsidR="006F711D" w:rsidRPr="006F711D" w:rsidRDefault="006F711D" w:rsidP="006F711D">
      <w:pPr>
        <w:rPr>
          <w:lang w:val="en-US"/>
        </w:rPr>
      </w:pPr>
    </w:p>
    <w:p w14:paraId="64BFDA6C" w14:textId="77777777" w:rsidR="006F711D" w:rsidRPr="006F711D" w:rsidRDefault="006F711D" w:rsidP="006F711D">
      <w:pPr>
        <w:rPr>
          <w:lang w:val="en-US"/>
        </w:rPr>
      </w:pPr>
      <w:r w:rsidRPr="006F711D">
        <w:rPr>
          <w:lang w:val="en-US"/>
        </w:rPr>
        <w:t>SIM (F. Gonzaga): No electrochemistry items to report. Several SIM regional comparisons are underway, but all in other CCQM domains. A SIM regional meeting will take place at the end of the month.</w:t>
      </w:r>
    </w:p>
    <w:p w14:paraId="2F2B4869" w14:textId="77777777" w:rsidR="006F711D" w:rsidRPr="006F711D" w:rsidRDefault="006F711D" w:rsidP="006F711D">
      <w:pPr>
        <w:rPr>
          <w:lang w:val="en-US"/>
        </w:rPr>
      </w:pPr>
    </w:p>
    <w:p w14:paraId="2A85C28E" w14:textId="440D0668" w:rsidR="006F711D" w:rsidRPr="006F711D" w:rsidRDefault="006F711D" w:rsidP="006F711D">
      <w:pPr>
        <w:rPr>
          <w:lang w:val="en-US"/>
        </w:rPr>
      </w:pPr>
      <w:r w:rsidRPr="006F711D">
        <w:rPr>
          <w:lang w:val="en-US"/>
        </w:rPr>
        <w:t>APMP (B. Wu): The APMP Inorganic and Electrochemical Analysis Subcommittee met online in August. The</w:t>
      </w:r>
      <w:r w:rsidR="006C426D">
        <w:rPr>
          <w:lang w:val="en-US"/>
        </w:rPr>
        <w:t xml:space="preserve"> participants</w:t>
      </w:r>
      <w:r w:rsidRPr="006F711D">
        <w:rPr>
          <w:lang w:val="en-US"/>
        </w:rPr>
        <w:t xml:space="preserve"> canvassed potential pilots and topics, including pH of buffer/matrix solutions, electrolytic conductivity of KCl/matrix solutions, anions in water (proposal from NIM under the Clean Water Focus Group), biofuels and food (e.g. cookies), and elements in water. Planned activities for 2025–2026 include solid-matrix CRM production, a food-safety workshop, and a Developing Economies Committee task force on pH measurement. Training proposals for 2026–2027 include conductivity and pH measurement, elements in water by ICP-MS, microplastics in food/water, and food-packaging contaminants (hosts to be confirmed). The next APMP annual meeting will be in Korea next month.</w:t>
      </w:r>
    </w:p>
    <w:p w14:paraId="68859654" w14:textId="77777777" w:rsidR="006F711D" w:rsidRPr="006F711D" w:rsidRDefault="006F711D" w:rsidP="006F711D">
      <w:pPr>
        <w:rPr>
          <w:lang w:val="en-US"/>
        </w:rPr>
      </w:pPr>
    </w:p>
    <w:p w14:paraId="30328958" w14:textId="0BE66A49" w:rsidR="004F2F21" w:rsidRPr="004374F2" w:rsidRDefault="006F711D" w:rsidP="006F711D">
      <w:pPr>
        <w:rPr>
          <w:lang w:val="en-US"/>
        </w:rPr>
      </w:pPr>
      <w:r w:rsidRPr="006F711D">
        <w:rPr>
          <w:lang w:val="en-US"/>
        </w:rPr>
        <w:t>EURAMET (A. Petrenko):</w:t>
      </w:r>
      <w:r w:rsidR="000C0D92">
        <w:rPr>
          <w:lang w:val="en-US"/>
        </w:rPr>
        <w:t xml:space="preserve"> </w:t>
      </w:r>
      <w:r w:rsidRPr="006F711D">
        <w:rPr>
          <w:lang w:val="en-US"/>
        </w:rPr>
        <w:t xml:space="preserve">A. Petrenko was elected subcommittee convener for the next five years. He </w:t>
      </w:r>
      <w:r w:rsidR="000C0D92">
        <w:rPr>
          <w:lang w:val="en-US"/>
        </w:rPr>
        <w:t xml:space="preserve">mentioned </w:t>
      </w:r>
      <w:r w:rsidRPr="006F711D">
        <w:rPr>
          <w:lang w:val="en-US"/>
        </w:rPr>
        <w:t xml:space="preserve">a new European Partnership on Metrology project on </w:t>
      </w:r>
      <w:r w:rsidR="000C0D92">
        <w:rPr>
          <w:lang w:val="en-US"/>
        </w:rPr>
        <w:t>moisture/</w:t>
      </w:r>
      <w:r w:rsidRPr="006F711D">
        <w:rPr>
          <w:lang w:val="en-US"/>
        </w:rPr>
        <w:t>water content in plant-origin bulk materials (start: June 2024; duration: 36 months; 12 partners). Aims include developing Karl Fischer methods with ~0.3% absolute uncertainty, organizing a comparison, producing at least one plant-matrix CRM (1–5% relative uncertainty), and drafting an EURAMET guide. Stakeholders</w:t>
      </w:r>
      <w:r w:rsidR="000C0D92">
        <w:rPr>
          <w:lang w:val="en-US"/>
        </w:rPr>
        <w:t xml:space="preserve"> - </w:t>
      </w:r>
      <w:r w:rsidRPr="006F711D">
        <w:rPr>
          <w:lang w:val="en-US"/>
        </w:rPr>
        <w:t>especially NMIs using oven-drying or Karl Fischer (volumetric/coulometric</w:t>
      </w:r>
      <w:r w:rsidR="000C0D92">
        <w:rPr>
          <w:lang w:val="en-US"/>
        </w:rPr>
        <w:t xml:space="preserve"> - a</w:t>
      </w:r>
      <w:r w:rsidRPr="006F711D">
        <w:rPr>
          <w:lang w:val="en-US"/>
        </w:rPr>
        <w:t>re invited to engage with the consortium (</w:t>
      </w:r>
      <w:r w:rsidR="000C0D92">
        <w:rPr>
          <w:lang w:val="en-US"/>
        </w:rPr>
        <w:t xml:space="preserve">contact either </w:t>
      </w:r>
      <w:r w:rsidRPr="006F711D">
        <w:rPr>
          <w:lang w:val="en-US"/>
        </w:rPr>
        <w:t xml:space="preserve">CMI coordinator S. </w:t>
      </w:r>
      <w:proofErr w:type="spellStart"/>
      <w:r w:rsidRPr="006F711D">
        <w:rPr>
          <w:lang w:val="en-US"/>
        </w:rPr>
        <w:t>P</w:t>
      </w:r>
      <w:r w:rsidR="000C0D92">
        <w:rPr>
          <w:lang w:val="en-US"/>
        </w:rPr>
        <w:t>á</w:t>
      </w:r>
      <w:r w:rsidRPr="006F711D">
        <w:rPr>
          <w:lang w:val="en-US"/>
        </w:rPr>
        <w:t>lkov</w:t>
      </w:r>
      <w:r w:rsidR="000C0D92">
        <w:rPr>
          <w:lang w:val="en-US"/>
        </w:rPr>
        <w:t>á</w:t>
      </w:r>
      <w:proofErr w:type="spellEnd"/>
      <w:r w:rsidR="000C0D92">
        <w:rPr>
          <w:lang w:val="en-US"/>
        </w:rPr>
        <w:t xml:space="preserve">, </w:t>
      </w:r>
      <w:r w:rsidR="000C0D92" w:rsidRPr="000C0D92">
        <w:rPr>
          <w:lang w:val="en-US"/>
        </w:rPr>
        <w:t>zpalkova@cmi.cz</w:t>
      </w:r>
      <w:r w:rsidRPr="006F711D">
        <w:rPr>
          <w:lang w:val="en-US"/>
        </w:rPr>
        <w:t xml:space="preserve"> or </w:t>
      </w:r>
      <w:r w:rsidR="000C0D92">
        <w:rPr>
          <w:lang w:val="en-US"/>
        </w:rPr>
        <w:t xml:space="preserve">A. </w:t>
      </w:r>
      <w:r w:rsidRPr="006F711D">
        <w:rPr>
          <w:lang w:val="en-US"/>
        </w:rPr>
        <w:t>Petrenko</w:t>
      </w:r>
      <w:r w:rsidR="000C0D92">
        <w:rPr>
          <w:lang w:val="en-US"/>
        </w:rPr>
        <w:t>)</w:t>
      </w:r>
      <w:r w:rsidRPr="006F711D">
        <w:rPr>
          <w:lang w:val="en-US"/>
        </w:rPr>
        <w:t>.</w:t>
      </w:r>
    </w:p>
    <w:p w14:paraId="3FF51467" w14:textId="62E05A64" w:rsidR="004374F2" w:rsidRDefault="003907C0" w:rsidP="005A60C2">
      <w:pPr>
        <w:pStyle w:val="berschrift1"/>
      </w:pPr>
      <w:r w:rsidRPr="003907C0">
        <w:t>Other business</w:t>
      </w:r>
    </w:p>
    <w:p w14:paraId="3741334D" w14:textId="0C47EC03" w:rsidR="00FE7A8A" w:rsidRDefault="00FE7A8A" w:rsidP="003318A9">
      <w:r w:rsidRPr="00FE7A8A">
        <w:t xml:space="preserve">Other business: Steffen Seitz briefed the group on the new CCQM Task Group on data digitalization with three task teams: (1) unique identifiers for </w:t>
      </w:r>
      <w:proofErr w:type="spellStart"/>
      <w:r w:rsidRPr="00FE7A8A">
        <w:t>ChemBio</w:t>
      </w:r>
      <w:proofErr w:type="spellEnd"/>
      <w:r w:rsidRPr="00FE7A8A">
        <w:t xml:space="preserve"> data, (2) digitalization of CRM certificates, and (3) FAIR principles for </w:t>
      </w:r>
      <w:proofErr w:type="spellStart"/>
      <w:r w:rsidRPr="00FE7A8A">
        <w:t>ChemBio</w:t>
      </w:r>
      <w:proofErr w:type="spellEnd"/>
      <w:r w:rsidRPr="00FE7A8A">
        <w:t xml:space="preserve"> databases and incorporation of AI.</w:t>
      </w:r>
      <w:r>
        <w:t xml:space="preserve"> F</w:t>
      </w:r>
      <w:r w:rsidRPr="00FE7A8A">
        <w:t xml:space="preserve">or Team 2, which is </w:t>
      </w:r>
      <w:r>
        <w:t>more</w:t>
      </w:r>
      <w:r w:rsidRPr="00FE7A8A">
        <w:t xml:space="preserve"> relevant to EAWG, Fabiano Gonzaga was approved as EAWG delegate (he is already active on similar work regionally).</w:t>
      </w:r>
      <w:r>
        <w:t xml:space="preserve"> </w:t>
      </w:r>
      <w:r w:rsidRPr="00FE7A8A">
        <w:t>Volunteers are welcome for Teams 1 and 3</w:t>
      </w:r>
      <w:r>
        <w:t>, even though S. Seitz supposed that the contribution of EAWG to those topics might be small.</w:t>
      </w:r>
    </w:p>
    <w:p w14:paraId="5414677B" w14:textId="6475F212" w:rsidR="00051087" w:rsidRDefault="00FE7A8A" w:rsidP="003318A9">
      <w:r w:rsidRPr="00FE7A8A">
        <w:t>The CCQM Spring Meeting will be held 13–17 April next year; EAWG will request a Monday slot to ease overlap with IAWG, pending CCQM scheduling. Finally, members were reminded of the EAWG discussion on KCRV and DoE calculation on 19 November, with Antonio Possolo (NIST) invited; the join link has been circulated.</w:t>
      </w:r>
    </w:p>
    <w:p w14:paraId="0B4DC42D" w14:textId="4D2AEAD1" w:rsidR="00770D45" w:rsidRDefault="00770D45" w:rsidP="00F23793">
      <w:r>
        <w:t xml:space="preserve">All presentations and documents will be available </w:t>
      </w:r>
      <w:r w:rsidR="0006062E">
        <w:t>at the EAWG-member area of the BIPM website.</w:t>
      </w:r>
    </w:p>
    <w:sectPr w:rsidR="00770D45" w:rsidSect="00875ECA">
      <w:pgSz w:w="11906" w:h="16838"/>
      <w:pgMar w:top="1135" w:right="849"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F29C0" w14:textId="77777777" w:rsidR="00391A13" w:rsidRDefault="00391A13" w:rsidP="007319FC">
      <w:pPr>
        <w:spacing w:after="0"/>
      </w:pPr>
      <w:r>
        <w:separator/>
      </w:r>
    </w:p>
  </w:endnote>
  <w:endnote w:type="continuationSeparator" w:id="0">
    <w:p w14:paraId="59D96FD6" w14:textId="77777777" w:rsidR="00391A13" w:rsidRDefault="00391A13" w:rsidP="007319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FC8F" w14:textId="628A9BB0" w:rsidR="00D96D34" w:rsidRDefault="00AB2E09" w:rsidP="00F864AF">
    <w:pPr>
      <w:pStyle w:val="Fuzeile"/>
      <w:pBdr>
        <w:top w:val="single" w:sz="4" w:space="1" w:color="auto"/>
      </w:pBdr>
      <w:tabs>
        <w:tab w:val="clear" w:pos="4536"/>
        <w:tab w:val="clear" w:pos="7088"/>
        <w:tab w:val="clear" w:pos="9072"/>
        <w:tab w:val="right" w:pos="4962"/>
        <w:tab w:val="left" w:pos="9214"/>
      </w:tabs>
    </w:pPr>
    <w:r>
      <w:rPr>
        <w:sz w:val="20"/>
      </w:rPr>
      <w:t xml:space="preserve">Version </w:t>
    </w:r>
    <w:r w:rsidR="00521352">
      <w:rPr>
        <w:sz w:val="20"/>
      </w:rPr>
      <w:t>01.04.2026</w:t>
    </w:r>
    <w:r w:rsidR="00D96D34">
      <w:rPr>
        <w:sz w:val="20"/>
      </w:rPr>
      <w:tab/>
    </w:r>
    <w:r w:rsidR="00D96D34" w:rsidRPr="00D22B55">
      <w:rPr>
        <w:sz w:val="20"/>
      </w:rPr>
      <w:fldChar w:fldCharType="begin"/>
    </w:r>
    <w:r w:rsidR="00D96D34" w:rsidRPr="00D22B55">
      <w:rPr>
        <w:sz w:val="20"/>
      </w:rPr>
      <w:instrText>PAGE   \* MERGEFORMAT</w:instrText>
    </w:r>
    <w:r w:rsidR="00D96D34" w:rsidRPr="00D22B55">
      <w:rPr>
        <w:sz w:val="20"/>
      </w:rPr>
      <w:fldChar w:fldCharType="separate"/>
    </w:r>
    <w:r w:rsidR="00FD15F4" w:rsidRPr="00FD15F4">
      <w:rPr>
        <w:noProof/>
        <w:sz w:val="20"/>
        <w:lang w:val="de-DE"/>
      </w:rPr>
      <w:t>1</w:t>
    </w:r>
    <w:r w:rsidR="00D96D34" w:rsidRPr="00D22B55">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9F53" w14:textId="77777777" w:rsidR="00391A13" w:rsidRDefault="00391A13" w:rsidP="007319FC">
      <w:pPr>
        <w:spacing w:after="0"/>
      </w:pPr>
      <w:r>
        <w:separator/>
      </w:r>
    </w:p>
  </w:footnote>
  <w:footnote w:type="continuationSeparator" w:id="0">
    <w:p w14:paraId="62F98335" w14:textId="77777777" w:rsidR="00391A13" w:rsidRDefault="00391A13" w:rsidP="007319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28D2" w14:textId="6591BE51" w:rsidR="00D96D34" w:rsidRDefault="00D96D34" w:rsidP="00D22B55">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F4BC" w14:textId="7FAB1DCB" w:rsidR="00D96D34" w:rsidRDefault="00D96D34" w:rsidP="00D22B55">
    <w:pPr>
      <w:pStyle w:val="Kopfzeile"/>
      <w:jc w:val="right"/>
    </w:pPr>
    <w:r>
      <w:rPr>
        <w:noProof/>
        <w:snapToGrid/>
        <w:lang w:val="sk-SK"/>
      </w:rPr>
      <w:drawing>
        <wp:inline distT="0" distB="0" distL="0" distR="0" wp14:anchorId="62A2E942" wp14:editId="77823B86">
          <wp:extent cx="1991413" cy="421419"/>
          <wp:effectExtent l="0" t="0" r="0" b="0"/>
          <wp:docPr id="694696969" name="Grafik 694696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95925" cy="443536"/>
                  </a:xfrm>
                  <a:prstGeom prst="rect">
                    <a:avLst/>
                  </a:prstGeom>
                </pic:spPr>
              </pic:pic>
            </a:graphicData>
          </a:graphic>
        </wp:inline>
      </w:drawing>
    </w:r>
  </w:p>
  <w:p w14:paraId="47B1683B" w14:textId="77777777" w:rsidR="009F38ED" w:rsidRDefault="009F38ED" w:rsidP="00D22B55">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6ADC"/>
    <w:multiLevelType w:val="multilevel"/>
    <w:tmpl w:val="2E605F2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64FB4"/>
    <w:multiLevelType w:val="multilevel"/>
    <w:tmpl w:val="2E4A39DE"/>
    <w:lvl w:ilvl="0">
      <w:start w:val="1"/>
      <w:numFmt w:val="decimal"/>
      <w:pStyle w:val="berschrift1"/>
      <w:lvlText w:val="%1"/>
      <w:lvlJc w:val="left"/>
      <w:pPr>
        <w:ind w:left="432" w:hanging="432"/>
      </w:pPr>
    </w:lvl>
    <w:lvl w:ilvl="1">
      <w:start w:val="1"/>
      <w:numFmt w:val="decimal"/>
      <w:pStyle w:val="berschrift2"/>
      <w:lvlText w:val="%1.%2"/>
      <w:lvlJc w:val="left"/>
      <w:pPr>
        <w:ind w:left="7097"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2D38085F"/>
    <w:multiLevelType w:val="hybridMultilevel"/>
    <w:tmpl w:val="97AAF534"/>
    <w:lvl w:ilvl="0" w:tplc="74A07D56">
      <w:start w:val="1"/>
      <w:numFmt w:val="bullet"/>
      <w:lvlText w:val="•"/>
      <w:lvlJc w:val="left"/>
      <w:pPr>
        <w:tabs>
          <w:tab w:val="num" w:pos="720"/>
        </w:tabs>
        <w:ind w:left="720" w:hanging="360"/>
      </w:pPr>
      <w:rPr>
        <w:rFonts w:ascii="Arial" w:hAnsi="Arial" w:hint="default"/>
      </w:rPr>
    </w:lvl>
    <w:lvl w:ilvl="1" w:tplc="AB4AB908" w:tentative="1">
      <w:start w:val="1"/>
      <w:numFmt w:val="bullet"/>
      <w:lvlText w:val="•"/>
      <w:lvlJc w:val="left"/>
      <w:pPr>
        <w:tabs>
          <w:tab w:val="num" w:pos="1440"/>
        </w:tabs>
        <w:ind w:left="1440" w:hanging="360"/>
      </w:pPr>
      <w:rPr>
        <w:rFonts w:ascii="Arial" w:hAnsi="Arial" w:hint="default"/>
      </w:rPr>
    </w:lvl>
    <w:lvl w:ilvl="2" w:tplc="EF90FE40" w:tentative="1">
      <w:start w:val="1"/>
      <w:numFmt w:val="bullet"/>
      <w:lvlText w:val="•"/>
      <w:lvlJc w:val="left"/>
      <w:pPr>
        <w:tabs>
          <w:tab w:val="num" w:pos="2160"/>
        </w:tabs>
        <w:ind w:left="2160" w:hanging="360"/>
      </w:pPr>
      <w:rPr>
        <w:rFonts w:ascii="Arial" w:hAnsi="Arial" w:hint="default"/>
      </w:rPr>
    </w:lvl>
    <w:lvl w:ilvl="3" w:tplc="917E1678" w:tentative="1">
      <w:start w:val="1"/>
      <w:numFmt w:val="bullet"/>
      <w:lvlText w:val="•"/>
      <w:lvlJc w:val="left"/>
      <w:pPr>
        <w:tabs>
          <w:tab w:val="num" w:pos="2880"/>
        </w:tabs>
        <w:ind w:left="2880" w:hanging="360"/>
      </w:pPr>
      <w:rPr>
        <w:rFonts w:ascii="Arial" w:hAnsi="Arial" w:hint="default"/>
      </w:rPr>
    </w:lvl>
    <w:lvl w:ilvl="4" w:tplc="4B1A9056" w:tentative="1">
      <w:start w:val="1"/>
      <w:numFmt w:val="bullet"/>
      <w:lvlText w:val="•"/>
      <w:lvlJc w:val="left"/>
      <w:pPr>
        <w:tabs>
          <w:tab w:val="num" w:pos="3600"/>
        </w:tabs>
        <w:ind w:left="3600" w:hanging="360"/>
      </w:pPr>
      <w:rPr>
        <w:rFonts w:ascii="Arial" w:hAnsi="Arial" w:hint="default"/>
      </w:rPr>
    </w:lvl>
    <w:lvl w:ilvl="5" w:tplc="C82CFC78" w:tentative="1">
      <w:start w:val="1"/>
      <w:numFmt w:val="bullet"/>
      <w:lvlText w:val="•"/>
      <w:lvlJc w:val="left"/>
      <w:pPr>
        <w:tabs>
          <w:tab w:val="num" w:pos="4320"/>
        </w:tabs>
        <w:ind w:left="4320" w:hanging="360"/>
      </w:pPr>
      <w:rPr>
        <w:rFonts w:ascii="Arial" w:hAnsi="Arial" w:hint="default"/>
      </w:rPr>
    </w:lvl>
    <w:lvl w:ilvl="6" w:tplc="4A5C3626" w:tentative="1">
      <w:start w:val="1"/>
      <w:numFmt w:val="bullet"/>
      <w:lvlText w:val="•"/>
      <w:lvlJc w:val="left"/>
      <w:pPr>
        <w:tabs>
          <w:tab w:val="num" w:pos="5040"/>
        </w:tabs>
        <w:ind w:left="5040" w:hanging="360"/>
      </w:pPr>
      <w:rPr>
        <w:rFonts w:ascii="Arial" w:hAnsi="Arial" w:hint="default"/>
      </w:rPr>
    </w:lvl>
    <w:lvl w:ilvl="7" w:tplc="9C143844" w:tentative="1">
      <w:start w:val="1"/>
      <w:numFmt w:val="bullet"/>
      <w:lvlText w:val="•"/>
      <w:lvlJc w:val="left"/>
      <w:pPr>
        <w:tabs>
          <w:tab w:val="num" w:pos="5760"/>
        </w:tabs>
        <w:ind w:left="5760" w:hanging="360"/>
      </w:pPr>
      <w:rPr>
        <w:rFonts w:ascii="Arial" w:hAnsi="Arial" w:hint="default"/>
      </w:rPr>
    </w:lvl>
    <w:lvl w:ilvl="8" w:tplc="047C694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5540F68"/>
    <w:multiLevelType w:val="hybridMultilevel"/>
    <w:tmpl w:val="C9240CCC"/>
    <w:lvl w:ilvl="0" w:tplc="D91C807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B9E6EF0"/>
    <w:multiLevelType w:val="hybridMultilevel"/>
    <w:tmpl w:val="5CBACF1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40DC083F"/>
    <w:multiLevelType w:val="hybridMultilevel"/>
    <w:tmpl w:val="1CDA241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41784E9B"/>
    <w:multiLevelType w:val="hybridMultilevel"/>
    <w:tmpl w:val="B4CEDCCA"/>
    <w:lvl w:ilvl="0" w:tplc="B0BE0A0C">
      <w:start w:val="1"/>
      <w:numFmt w:val="bullet"/>
      <w:lvlText w:val="•"/>
      <w:lvlJc w:val="left"/>
      <w:pPr>
        <w:tabs>
          <w:tab w:val="num" w:pos="870"/>
        </w:tabs>
        <w:ind w:left="870" w:hanging="360"/>
      </w:pPr>
      <w:rPr>
        <w:rFonts w:ascii="Arial" w:hAnsi="Arial" w:hint="default"/>
      </w:rPr>
    </w:lvl>
    <w:lvl w:ilvl="1" w:tplc="A84632D6" w:tentative="1">
      <w:start w:val="1"/>
      <w:numFmt w:val="bullet"/>
      <w:lvlText w:val="•"/>
      <w:lvlJc w:val="left"/>
      <w:pPr>
        <w:tabs>
          <w:tab w:val="num" w:pos="1590"/>
        </w:tabs>
        <w:ind w:left="1590" w:hanging="360"/>
      </w:pPr>
      <w:rPr>
        <w:rFonts w:ascii="Arial" w:hAnsi="Arial" w:hint="default"/>
      </w:rPr>
    </w:lvl>
    <w:lvl w:ilvl="2" w:tplc="866C7158" w:tentative="1">
      <w:start w:val="1"/>
      <w:numFmt w:val="bullet"/>
      <w:lvlText w:val="•"/>
      <w:lvlJc w:val="left"/>
      <w:pPr>
        <w:tabs>
          <w:tab w:val="num" w:pos="2310"/>
        </w:tabs>
        <w:ind w:left="2310" w:hanging="360"/>
      </w:pPr>
      <w:rPr>
        <w:rFonts w:ascii="Arial" w:hAnsi="Arial" w:hint="default"/>
      </w:rPr>
    </w:lvl>
    <w:lvl w:ilvl="3" w:tplc="A134D800" w:tentative="1">
      <w:start w:val="1"/>
      <w:numFmt w:val="bullet"/>
      <w:lvlText w:val="•"/>
      <w:lvlJc w:val="left"/>
      <w:pPr>
        <w:tabs>
          <w:tab w:val="num" w:pos="3030"/>
        </w:tabs>
        <w:ind w:left="3030" w:hanging="360"/>
      </w:pPr>
      <w:rPr>
        <w:rFonts w:ascii="Arial" w:hAnsi="Arial" w:hint="default"/>
      </w:rPr>
    </w:lvl>
    <w:lvl w:ilvl="4" w:tplc="31561D78" w:tentative="1">
      <w:start w:val="1"/>
      <w:numFmt w:val="bullet"/>
      <w:lvlText w:val="•"/>
      <w:lvlJc w:val="left"/>
      <w:pPr>
        <w:tabs>
          <w:tab w:val="num" w:pos="3750"/>
        </w:tabs>
        <w:ind w:left="3750" w:hanging="360"/>
      </w:pPr>
      <w:rPr>
        <w:rFonts w:ascii="Arial" w:hAnsi="Arial" w:hint="default"/>
      </w:rPr>
    </w:lvl>
    <w:lvl w:ilvl="5" w:tplc="05C230B2" w:tentative="1">
      <w:start w:val="1"/>
      <w:numFmt w:val="bullet"/>
      <w:lvlText w:val="•"/>
      <w:lvlJc w:val="left"/>
      <w:pPr>
        <w:tabs>
          <w:tab w:val="num" w:pos="4470"/>
        </w:tabs>
        <w:ind w:left="4470" w:hanging="360"/>
      </w:pPr>
      <w:rPr>
        <w:rFonts w:ascii="Arial" w:hAnsi="Arial" w:hint="default"/>
      </w:rPr>
    </w:lvl>
    <w:lvl w:ilvl="6" w:tplc="6DFCBB56" w:tentative="1">
      <w:start w:val="1"/>
      <w:numFmt w:val="bullet"/>
      <w:lvlText w:val="•"/>
      <w:lvlJc w:val="left"/>
      <w:pPr>
        <w:tabs>
          <w:tab w:val="num" w:pos="5190"/>
        </w:tabs>
        <w:ind w:left="5190" w:hanging="360"/>
      </w:pPr>
      <w:rPr>
        <w:rFonts w:ascii="Arial" w:hAnsi="Arial" w:hint="default"/>
      </w:rPr>
    </w:lvl>
    <w:lvl w:ilvl="7" w:tplc="45506186" w:tentative="1">
      <w:start w:val="1"/>
      <w:numFmt w:val="bullet"/>
      <w:lvlText w:val="•"/>
      <w:lvlJc w:val="left"/>
      <w:pPr>
        <w:tabs>
          <w:tab w:val="num" w:pos="5910"/>
        </w:tabs>
        <w:ind w:left="5910" w:hanging="360"/>
      </w:pPr>
      <w:rPr>
        <w:rFonts w:ascii="Arial" w:hAnsi="Arial" w:hint="default"/>
      </w:rPr>
    </w:lvl>
    <w:lvl w:ilvl="8" w:tplc="B0D0B36C" w:tentative="1">
      <w:start w:val="1"/>
      <w:numFmt w:val="bullet"/>
      <w:lvlText w:val="•"/>
      <w:lvlJc w:val="left"/>
      <w:pPr>
        <w:tabs>
          <w:tab w:val="num" w:pos="6630"/>
        </w:tabs>
        <w:ind w:left="6630" w:hanging="360"/>
      </w:pPr>
      <w:rPr>
        <w:rFonts w:ascii="Arial" w:hAnsi="Arial" w:hint="default"/>
      </w:rPr>
    </w:lvl>
  </w:abstractNum>
  <w:abstractNum w:abstractNumId="7" w15:restartNumberingAfterBreak="0">
    <w:nsid w:val="426C68CE"/>
    <w:multiLevelType w:val="hybridMultilevel"/>
    <w:tmpl w:val="DF86AB4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43B703AA"/>
    <w:multiLevelType w:val="hybridMultilevel"/>
    <w:tmpl w:val="3C7A788A"/>
    <w:lvl w:ilvl="0" w:tplc="87461CE0">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91E41CD"/>
    <w:multiLevelType w:val="hybridMultilevel"/>
    <w:tmpl w:val="88A46B8E"/>
    <w:lvl w:ilvl="0" w:tplc="E428928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A4173D4"/>
    <w:multiLevelType w:val="hybridMultilevel"/>
    <w:tmpl w:val="D58AC9AA"/>
    <w:lvl w:ilvl="0" w:tplc="0FA2012E">
      <w:start w:val="1"/>
      <w:numFmt w:val="lowerLetter"/>
      <w:lvlText w:val="%1)"/>
      <w:lvlJc w:val="left"/>
      <w:pPr>
        <w:tabs>
          <w:tab w:val="num" w:pos="720"/>
        </w:tabs>
        <w:ind w:left="720" w:hanging="360"/>
      </w:pPr>
    </w:lvl>
    <w:lvl w:ilvl="1" w:tplc="95660040" w:tentative="1">
      <w:start w:val="1"/>
      <w:numFmt w:val="lowerLetter"/>
      <w:lvlText w:val="%2)"/>
      <w:lvlJc w:val="left"/>
      <w:pPr>
        <w:tabs>
          <w:tab w:val="num" w:pos="1440"/>
        </w:tabs>
        <w:ind w:left="1440" w:hanging="360"/>
      </w:pPr>
    </w:lvl>
    <w:lvl w:ilvl="2" w:tplc="E8BAB7C2" w:tentative="1">
      <w:start w:val="1"/>
      <w:numFmt w:val="lowerLetter"/>
      <w:lvlText w:val="%3)"/>
      <w:lvlJc w:val="left"/>
      <w:pPr>
        <w:tabs>
          <w:tab w:val="num" w:pos="2160"/>
        </w:tabs>
        <w:ind w:left="2160" w:hanging="360"/>
      </w:pPr>
    </w:lvl>
    <w:lvl w:ilvl="3" w:tplc="3C4ED8E8" w:tentative="1">
      <w:start w:val="1"/>
      <w:numFmt w:val="lowerLetter"/>
      <w:lvlText w:val="%4)"/>
      <w:lvlJc w:val="left"/>
      <w:pPr>
        <w:tabs>
          <w:tab w:val="num" w:pos="2880"/>
        </w:tabs>
        <w:ind w:left="2880" w:hanging="360"/>
      </w:pPr>
    </w:lvl>
    <w:lvl w:ilvl="4" w:tplc="E0FCC8CA" w:tentative="1">
      <w:start w:val="1"/>
      <w:numFmt w:val="lowerLetter"/>
      <w:lvlText w:val="%5)"/>
      <w:lvlJc w:val="left"/>
      <w:pPr>
        <w:tabs>
          <w:tab w:val="num" w:pos="3600"/>
        </w:tabs>
        <w:ind w:left="3600" w:hanging="360"/>
      </w:pPr>
    </w:lvl>
    <w:lvl w:ilvl="5" w:tplc="9282FD02" w:tentative="1">
      <w:start w:val="1"/>
      <w:numFmt w:val="lowerLetter"/>
      <w:lvlText w:val="%6)"/>
      <w:lvlJc w:val="left"/>
      <w:pPr>
        <w:tabs>
          <w:tab w:val="num" w:pos="4320"/>
        </w:tabs>
        <w:ind w:left="4320" w:hanging="360"/>
      </w:pPr>
    </w:lvl>
    <w:lvl w:ilvl="6" w:tplc="CCF08B50" w:tentative="1">
      <w:start w:val="1"/>
      <w:numFmt w:val="lowerLetter"/>
      <w:lvlText w:val="%7)"/>
      <w:lvlJc w:val="left"/>
      <w:pPr>
        <w:tabs>
          <w:tab w:val="num" w:pos="5040"/>
        </w:tabs>
        <w:ind w:left="5040" w:hanging="360"/>
      </w:pPr>
    </w:lvl>
    <w:lvl w:ilvl="7" w:tplc="FF565508" w:tentative="1">
      <w:start w:val="1"/>
      <w:numFmt w:val="lowerLetter"/>
      <w:lvlText w:val="%8)"/>
      <w:lvlJc w:val="left"/>
      <w:pPr>
        <w:tabs>
          <w:tab w:val="num" w:pos="5760"/>
        </w:tabs>
        <w:ind w:left="5760" w:hanging="360"/>
      </w:pPr>
    </w:lvl>
    <w:lvl w:ilvl="8" w:tplc="90AE0650" w:tentative="1">
      <w:start w:val="1"/>
      <w:numFmt w:val="lowerLetter"/>
      <w:lvlText w:val="%9)"/>
      <w:lvlJc w:val="left"/>
      <w:pPr>
        <w:tabs>
          <w:tab w:val="num" w:pos="6480"/>
        </w:tabs>
        <w:ind w:left="6480" w:hanging="360"/>
      </w:pPr>
    </w:lvl>
  </w:abstractNum>
  <w:num w:numId="1" w16cid:durableId="1106462219">
    <w:abstractNumId w:val="1"/>
  </w:num>
  <w:num w:numId="2" w16cid:durableId="1635982233">
    <w:abstractNumId w:val="6"/>
  </w:num>
  <w:num w:numId="3" w16cid:durableId="1632321720">
    <w:abstractNumId w:val="5"/>
  </w:num>
  <w:num w:numId="4" w16cid:durableId="672297584">
    <w:abstractNumId w:val="10"/>
  </w:num>
  <w:num w:numId="5" w16cid:durableId="1696232806">
    <w:abstractNumId w:val="1"/>
  </w:num>
  <w:num w:numId="6" w16cid:durableId="816262806">
    <w:abstractNumId w:val="2"/>
  </w:num>
  <w:num w:numId="7" w16cid:durableId="1770545780">
    <w:abstractNumId w:val="9"/>
  </w:num>
  <w:num w:numId="8" w16cid:durableId="1742942784">
    <w:abstractNumId w:val="1"/>
  </w:num>
  <w:num w:numId="9" w16cid:durableId="84038139">
    <w:abstractNumId w:val="1"/>
  </w:num>
  <w:num w:numId="10" w16cid:durableId="1727487274">
    <w:abstractNumId w:val="1"/>
  </w:num>
  <w:num w:numId="11" w16cid:durableId="1995178325">
    <w:abstractNumId w:val="1"/>
  </w:num>
  <w:num w:numId="12" w16cid:durableId="1662537693">
    <w:abstractNumId w:val="4"/>
  </w:num>
  <w:num w:numId="13" w16cid:durableId="118185287">
    <w:abstractNumId w:val="3"/>
  </w:num>
  <w:num w:numId="14" w16cid:durableId="2084837252">
    <w:abstractNumId w:val="8"/>
  </w:num>
  <w:num w:numId="15" w16cid:durableId="1736582491">
    <w:abstractNumId w:val="0"/>
  </w:num>
  <w:num w:numId="16" w16cid:durableId="192040558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0"/>
    <w:rsid w:val="00000BB1"/>
    <w:rsid w:val="00001C18"/>
    <w:rsid w:val="000025DF"/>
    <w:rsid w:val="00002CD5"/>
    <w:rsid w:val="00003917"/>
    <w:rsid w:val="00004234"/>
    <w:rsid w:val="00004355"/>
    <w:rsid w:val="00005950"/>
    <w:rsid w:val="00006325"/>
    <w:rsid w:val="000066B7"/>
    <w:rsid w:val="00006B4C"/>
    <w:rsid w:val="00012258"/>
    <w:rsid w:val="00012B16"/>
    <w:rsid w:val="0001387A"/>
    <w:rsid w:val="00015230"/>
    <w:rsid w:val="00015FFF"/>
    <w:rsid w:val="00016578"/>
    <w:rsid w:val="00016FBE"/>
    <w:rsid w:val="00017A7C"/>
    <w:rsid w:val="000206B0"/>
    <w:rsid w:val="00020F67"/>
    <w:rsid w:val="0002127C"/>
    <w:rsid w:val="00021FFF"/>
    <w:rsid w:val="000227C2"/>
    <w:rsid w:val="000251E4"/>
    <w:rsid w:val="00025973"/>
    <w:rsid w:val="00025980"/>
    <w:rsid w:val="00027C6C"/>
    <w:rsid w:val="00031ABE"/>
    <w:rsid w:val="0003328E"/>
    <w:rsid w:val="00035069"/>
    <w:rsid w:val="0003519D"/>
    <w:rsid w:val="000353E1"/>
    <w:rsid w:val="00035D73"/>
    <w:rsid w:val="000376B8"/>
    <w:rsid w:val="00037C75"/>
    <w:rsid w:val="0004010E"/>
    <w:rsid w:val="00040756"/>
    <w:rsid w:val="00041401"/>
    <w:rsid w:val="00041773"/>
    <w:rsid w:val="00042038"/>
    <w:rsid w:val="0004467D"/>
    <w:rsid w:val="000446FD"/>
    <w:rsid w:val="00044F71"/>
    <w:rsid w:val="00045AA0"/>
    <w:rsid w:val="00047041"/>
    <w:rsid w:val="00047C5F"/>
    <w:rsid w:val="00050DAD"/>
    <w:rsid w:val="00050EAC"/>
    <w:rsid w:val="00051087"/>
    <w:rsid w:val="0005459E"/>
    <w:rsid w:val="000554AF"/>
    <w:rsid w:val="00055B27"/>
    <w:rsid w:val="0006062E"/>
    <w:rsid w:val="000609E0"/>
    <w:rsid w:val="00060AAE"/>
    <w:rsid w:val="00064539"/>
    <w:rsid w:val="00065CA1"/>
    <w:rsid w:val="00066FD7"/>
    <w:rsid w:val="00067121"/>
    <w:rsid w:val="00067DF3"/>
    <w:rsid w:val="00070B95"/>
    <w:rsid w:val="0007197B"/>
    <w:rsid w:val="00072936"/>
    <w:rsid w:val="00072C90"/>
    <w:rsid w:val="00073B00"/>
    <w:rsid w:val="0007450A"/>
    <w:rsid w:val="00074677"/>
    <w:rsid w:val="000748C4"/>
    <w:rsid w:val="00074AEC"/>
    <w:rsid w:val="00077526"/>
    <w:rsid w:val="00077608"/>
    <w:rsid w:val="000820AF"/>
    <w:rsid w:val="0008298A"/>
    <w:rsid w:val="00083F11"/>
    <w:rsid w:val="00084C0B"/>
    <w:rsid w:val="000857E0"/>
    <w:rsid w:val="000860B6"/>
    <w:rsid w:val="00086DA4"/>
    <w:rsid w:val="00087544"/>
    <w:rsid w:val="000876CF"/>
    <w:rsid w:val="0008781E"/>
    <w:rsid w:val="00090031"/>
    <w:rsid w:val="00090849"/>
    <w:rsid w:val="00091075"/>
    <w:rsid w:val="00092479"/>
    <w:rsid w:val="00092795"/>
    <w:rsid w:val="00092E25"/>
    <w:rsid w:val="00093610"/>
    <w:rsid w:val="00094AE8"/>
    <w:rsid w:val="00094E10"/>
    <w:rsid w:val="0009542F"/>
    <w:rsid w:val="00095C5F"/>
    <w:rsid w:val="0009676B"/>
    <w:rsid w:val="00096AAD"/>
    <w:rsid w:val="000979F0"/>
    <w:rsid w:val="00097BBE"/>
    <w:rsid w:val="00097C9D"/>
    <w:rsid w:val="000A1DE8"/>
    <w:rsid w:val="000A2021"/>
    <w:rsid w:val="000A32AD"/>
    <w:rsid w:val="000A3A36"/>
    <w:rsid w:val="000A3F84"/>
    <w:rsid w:val="000A427F"/>
    <w:rsid w:val="000A5054"/>
    <w:rsid w:val="000A56EC"/>
    <w:rsid w:val="000A689B"/>
    <w:rsid w:val="000A6C13"/>
    <w:rsid w:val="000B096B"/>
    <w:rsid w:val="000B1A1A"/>
    <w:rsid w:val="000B2A7F"/>
    <w:rsid w:val="000B3E68"/>
    <w:rsid w:val="000B47C1"/>
    <w:rsid w:val="000B47DC"/>
    <w:rsid w:val="000B4F1E"/>
    <w:rsid w:val="000B538A"/>
    <w:rsid w:val="000B597D"/>
    <w:rsid w:val="000B6380"/>
    <w:rsid w:val="000B75E6"/>
    <w:rsid w:val="000B7876"/>
    <w:rsid w:val="000B79CE"/>
    <w:rsid w:val="000C098B"/>
    <w:rsid w:val="000C0D92"/>
    <w:rsid w:val="000C1795"/>
    <w:rsid w:val="000C19C4"/>
    <w:rsid w:val="000C1D7B"/>
    <w:rsid w:val="000C30B2"/>
    <w:rsid w:val="000C31C2"/>
    <w:rsid w:val="000C34FD"/>
    <w:rsid w:val="000C41A4"/>
    <w:rsid w:val="000C41A9"/>
    <w:rsid w:val="000C46BA"/>
    <w:rsid w:val="000C4E79"/>
    <w:rsid w:val="000C6B0E"/>
    <w:rsid w:val="000C6DBA"/>
    <w:rsid w:val="000C70BE"/>
    <w:rsid w:val="000C734C"/>
    <w:rsid w:val="000D08C6"/>
    <w:rsid w:val="000D1CBA"/>
    <w:rsid w:val="000D1D3E"/>
    <w:rsid w:val="000D2395"/>
    <w:rsid w:val="000D4705"/>
    <w:rsid w:val="000D4898"/>
    <w:rsid w:val="000D5822"/>
    <w:rsid w:val="000D5EEE"/>
    <w:rsid w:val="000D7D99"/>
    <w:rsid w:val="000E0ACA"/>
    <w:rsid w:val="000E1626"/>
    <w:rsid w:val="000E3199"/>
    <w:rsid w:val="000E334B"/>
    <w:rsid w:val="000E3883"/>
    <w:rsid w:val="000E39C9"/>
    <w:rsid w:val="000E42F4"/>
    <w:rsid w:val="000E5138"/>
    <w:rsid w:val="000E631E"/>
    <w:rsid w:val="000E6BB7"/>
    <w:rsid w:val="000E7B4A"/>
    <w:rsid w:val="000F09E8"/>
    <w:rsid w:val="000F24F0"/>
    <w:rsid w:val="000F2A68"/>
    <w:rsid w:val="000F2D1B"/>
    <w:rsid w:val="000F4D25"/>
    <w:rsid w:val="000F50AD"/>
    <w:rsid w:val="000F5A64"/>
    <w:rsid w:val="000F73E2"/>
    <w:rsid w:val="000F7A75"/>
    <w:rsid w:val="001010FD"/>
    <w:rsid w:val="001016CA"/>
    <w:rsid w:val="0010183C"/>
    <w:rsid w:val="001026DC"/>
    <w:rsid w:val="0010287A"/>
    <w:rsid w:val="001043FF"/>
    <w:rsid w:val="00104B79"/>
    <w:rsid w:val="0010631D"/>
    <w:rsid w:val="001072BF"/>
    <w:rsid w:val="00110F06"/>
    <w:rsid w:val="00110F2F"/>
    <w:rsid w:val="0011111E"/>
    <w:rsid w:val="00111142"/>
    <w:rsid w:val="00111ED2"/>
    <w:rsid w:val="00113077"/>
    <w:rsid w:val="00113D4D"/>
    <w:rsid w:val="00114B39"/>
    <w:rsid w:val="00115EF6"/>
    <w:rsid w:val="001164B3"/>
    <w:rsid w:val="001202A5"/>
    <w:rsid w:val="00120BD5"/>
    <w:rsid w:val="00122F05"/>
    <w:rsid w:val="001245EE"/>
    <w:rsid w:val="00125815"/>
    <w:rsid w:val="0012645E"/>
    <w:rsid w:val="00127B2E"/>
    <w:rsid w:val="00131AF6"/>
    <w:rsid w:val="00131AF7"/>
    <w:rsid w:val="0013333C"/>
    <w:rsid w:val="00134233"/>
    <w:rsid w:val="00134607"/>
    <w:rsid w:val="00134788"/>
    <w:rsid w:val="00134B7B"/>
    <w:rsid w:val="00136916"/>
    <w:rsid w:val="00136CBC"/>
    <w:rsid w:val="00137671"/>
    <w:rsid w:val="00137A6A"/>
    <w:rsid w:val="00137DA9"/>
    <w:rsid w:val="00137FE2"/>
    <w:rsid w:val="00140308"/>
    <w:rsid w:val="00141699"/>
    <w:rsid w:val="00141DB3"/>
    <w:rsid w:val="00141EF2"/>
    <w:rsid w:val="001428E9"/>
    <w:rsid w:val="00143817"/>
    <w:rsid w:val="00143D83"/>
    <w:rsid w:val="00143DB6"/>
    <w:rsid w:val="001449CE"/>
    <w:rsid w:val="00145E0C"/>
    <w:rsid w:val="001470AB"/>
    <w:rsid w:val="001502B4"/>
    <w:rsid w:val="001511A4"/>
    <w:rsid w:val="0015158B"/>
    <w:rsid w:val="00151725"/>
    <w:rsid w:val="00151AEE"/>
    <w:rsid w:val="00151E5C"/>
    <w:rsid w:val="00152916"/>
    <w:rsid w:val="0015425F"/>
    <w:rsid w:val="00154D5A"/>
    <w:rsid w:val="00154FE6"/>
    <w:rsid w:val="00156126"/>
    <w:rsid w:val="00156DF6"/>
    <w:rsid w:val="0015726F"/>
    <w:rsid w:val="001605CF"/>
    <w:rsid w:val="00160623"/>
    <w:rsid w:val="00160B94"/>
    <w:rsid w:val="001610D9"/>
    <w:rsid w:val="00161AE7"/>
    <w:rsid w:val="00162608"/>
    <w:rsid w:val="00162F0B"/>
    <w:rsid w:val="001648AE"/>
    <w:rsid w:val="00165081"/>
    <w:rsid w:val="00167C3E"/>
    <w:rsid w:val="00172E8C"/>
    <w:rsid w:val="00172EC2"/>
    <w:rsid w:val="00173CAE"/>
    <w:rsid w:val="0017481B"/>
    <w:rsid w:val="00175211"/>
    <w:rsid w:val="001753BF"/>
    <w:rsid w:val="0018022A"/>
    <w:rsid w:val="00181733"/>
    <w:rsid w:val="001822E0"/>
    <w:rsid w:val="001823F9"/>
    <w:rsid w:val="00182568"/>
    <w:rsid w:val="00184CDD"/>
    <w:rsid w:val="00185A2B"/>
    <w:rsid w:val="0018687D"/>
    <w:rsid w:val="00186FFF"/>
    <w:rsid w:val="00191F01"/>
    <w:rsid w:val="00193D50"/>
    <w:rsid w:val="0019410E"/>
    <w:rsid w:val="001948AD"/>
    <w:rsid w:val="00196379"/>
    <w:rsid w:val="00197CD2"/>
    <w:rsid w:val="001A06A5"/>
    <w:rsid w:val="001A07BB"/>
    <w:rsid w:val="001A0BA6"/>
    <w:rsid w:val="001A128A"/>
    <w:rsid w:val="001A33D9"/>
    <w:rsid w:val="001A3926"/>
    <w:rsid w:val="001A3AD7"/>
    <w:rsid w:val="001A54F2"/>
    <w:rsid w:val="001A56B4"/>
    <w:rsid w:val="001A7D6B"/>
    <w:rsid w:val="001B0879"/>
    <w:rsid w:val="001B15C2"/>
    <w:rsid w:val="001B2AE1"/>
    <w:rsid w:val="001B2E40"/>
    <w:rsid w:val="001B3575"/>
    <w:rsid w:val="001B4197"/>
    <w:rsid w:val="001B4FC4"/>
    <w:rsid w:val="001B78AE"/>
    <w:rsid w:val="001C010D"/>
    <w:rsid w:val="001C0CBF"/>
    <w:rsid w:val="001C0ED0"/>
    <w:rsid w:val="001C0EE3"/>
    <w:rsid w:val="001C13A8"/>
    <w:rsid w:val="001C17B3"/>
    <w:rsid w:val="001C31F1"/>
    <w:rsid w:val="001C3F98"/>
    <w:rsid w:val="001C4C71"/>
    <w:rsid w:val="001C5B1C"/>
    <w:rsid w:val="001C5CBC"/>
    <w:rsid w:val="001C5F53"/>
    <w:rsid w:val="001C5FD9"/>
    <w:rsid w:val="001C6480"/>
    <w:rsid w:val="001C64F9"/>
    <w:rsid w:val="001C669E"/>
    <w:rsid w:val="001C6D3F"/>
    <w:rsid w:val="001D0CC9"/>
    <w:rsid w:val="001D2C2F"/>
    <w:rsid w:val="001D477D"/>
    <w:rsid w:val="001D483B"/>
    <w:rsid w:val="001D4892"/>
    <w:rsid w:val="001D4A83"/>
    <w:rsid w:val="001D6396"/>
    <w:rsid w:val="001D6ACD"/>
    <w:rsid w:val="001D6F8A"/>
    <w:rsid w:val="001D7201"/>
    <w:rsid w:val="001D7BA7"/>
    <w:rsid w:val="001D7EA1"/>
    <w:rsid w:val="001E0406"/>
    <w:rsid w:val="001E055D"/>
    <w:rsid w:val="001E122B"/>
    <w:rsid w:val="001E335E"/>
    <w:rsid w:val="001E6155"/>
    <w:rsid w:val="001E65CE"/>
    <w:rsid w:val="001E67A1"/>
    <w:rsid w:val="001E69DD"/>
    <w:rsid w:val="001E6A03"/>
    <w:rsid w:val="001E7BA3"/>
    <w:rsid w:val="001F03ED"/>
    <w:rsid w:val="001F21E7"/>
    <w:rsid w:val="001F268C"/>
    <w:rsid w:val="001F3F2B"/>
    <w:rsid w:val="001F41B9"/>
    <w:rsid w:val="001F4867"/>
    <w:rsid w:val="001F4A2E"/>
    <w:rsid w:val="001F6022"/>
    <w:rsid w:val="001F625D"/>
    <w:rsid w:val="001F64A8"/>
    <w:rsid w:val="001F6502"/>
    <w:rsid w:val="001F6DE4"/>
    <w:rsid w:val="00200AF3"/>
    <w:rsid w:val="00201340"/>
    <w:rsid w:val="0020238E"/>
    <w:rsid w:val="00203520"/>
    <w:rsid w:val="00203676"/>
    <w:rsid w:val="0020468B"/>
    <w:rsid w:val="00204D75"/>
    <w:rsid w:val="00204D93"/>
    <w:rsid w:val="00205954"/>
    <w:rsid w:val="00206294"/>
    <w:rsid w:val="00206851"/>
    <w:rsid w:val="00206D06"/>
    <w:rsid w:val="00207106"/>
    <w:rsid w:val="00210454"/>
    <w:rsid w:val="00210F61"/>
    <w:rsid w:val="00211709"/>
    <w:rsid w:val="00212470"/>
    <w:rsid w:val="00212599"/>
    <w:rsid w:val="00212BCF"/>
    <w:rsid w:val="0021486D"/>
    <w:rsid w:val="00215200"/>
    <w:rsid w:val="00216237"/>
    <w:rsid w:val="002167ED"/>
    <w:rsid w:val="002170BA"/>
    <w:rsid w:val="00217796"/>
    <w:rsid w:val="00220774"/>
    <w:rsid w:val="00220899"/>
    <w:rsid w:val="0022103D"/>
    <w:rsid w:val="00221319"/>
    <w:rsid w:val="0022260A"/>
    <w:rsid w:val="00222631"/>
    <w:rsid w:val="00222E46"/>
    <w:rsid w:val="00223727"/>
    <w:rsid w:val="002256C3"/>
    <w:rsid w:val="00225948"/>
    <w:rsid w:val="002263EC"/>
    <w:rsid w:val="002268EF"/>
    <w:rsid w:val="00231B71"/>
    <w:rsid w:val="00232D13"/>
    <w:rsid w:val="0023312B"/>
    <w:rsid w:val="00234C0A"/>
    <w:rsid w:val="00237656"/>
    <w:rsid w:val="00237D19"/>
    <w:rsid w:val="00240244"/>
    <w:rsid w:val="002402D6"/>
    <w:rsid w:val="0024060D"/>
    <w:rsid w:val="00241058"/>
    <w:rsid w:val="0024160E"/>
    <w:rsid w:val="002435DA"/>
    <w:rsid w:val="00243EED"/>
    <w:rsid w:val="00244636"/>
    <w:rsid w:val="00247535"/>
    <w:rsid w:val="00250169"/>
    <w:rsid w:val="00252547"/>
    <w:rsid w:val="002525D7"/>
    <w:rsid w:val="002534FF"/>
    <w:rsid w:val="00253930"/>
    <w:rsid w:val="002554B1"/>
    <w:rsid w:val="0025720D"/>
    <w:rsid w:val="00257DC5"/>
    <w:rsid w:val="0026012B"/>
    <w:rsid w:val="002619E6"/>
    <w:rsid w:val="00261D7A"/>
    <w:rsid w:val="00262BA2"/>
    <w:rsid w:val="00262D02"/>
    <w:rsid w:val="00262DD5"/>
    <w:rsid w:val="00262DDD"/>
    <w:rsid w:val="00263288"/>
    <w:rsid w:val="0026348F"/>
    <w:rsid w:val="00263C9C"/>
    <w:rsid w:val="00263DAB"/>
    <w:rsid w:val="00264314"/>
    <w:rsid w:val="00264749"/>
    <w:rsid w:val="00264FE0"/>
    <w:rsid w:val="00265A42"/>
    <w:rsid w:val="00265F65"/>
    <w:rsid w:val="00266453"/>
    <w:rsid w:val="002669D8"/>
    <w:rsid w:val="002676DD"/>
    <w:rsid w:val="00267C2C"/>
    <w:rsid w:val="002701F1"/>
    <w:rsid w:val="002708E3"/>
    <w:rsid w:val="00270F98"/>
    <w:rsid w:val="00271DF9"/>
    <w:rsid w:val="00271EC7"/>
    <w:rsid w:val="002723D9"/>
    <w:rsid w:val="0027291F"/>
    <w:rsid w:val="0027292D"/>
    <w:rsid w:val="002736E9"/>
    <w:rsid w:val="00274A6E"/>
    <w:rsid w:val="00274E0B"/>
    <w:rsid w:val="00275B03"/>
    <w:rsid w:val="00275F6D"/>
    <w:rsid w:val="0027624B"/>
    <w:rsid w:val="00277827"/>
    <w:rsid w:val="00277FAC"/>
    <w:rsid w:val="002807AB"/>
    <w:rsid w:val="00280D72"/>
    <w:rsid w:val="00284B75"/>
    <w:rsid w:val="002857F1"/>
    <w:rsid w:val="00286222"/>
    <w:rsid w:val="002871E4"/>
    <w:rsid w:val="002874BC"/>
    <w:rsid w:val="00291667"/>
    <w:rsid w:val="00291BE4"/>
    <w:rsid w:val="00291C3B"/>
    <w:rsid w:val="002920C4"/>
    <w:rsid w:val="00293AE3"/>
    <w:rsid w:val="00294CD3"/>
    <w:rsid w:val="00294ED9"/>
    <w:rsid w:val="002955A4"/>
    <w:rsid w:val="00295FC6"/>
    <w:rsid w:val="00296152"/>
    <w:rsid w:val="002973FA"/>
    <w:rsid w:val="002A026B"/>
    <w:rsid w:val="002A1CC3"/>
    <w:rsid w:val="002A25BD"/>
    <w:rsid w:val="002A38CA"/>
    <w:rsid w:val="002A5B04"/>
    <w:rsid w:val="002A7093"/>
    <w:rsid w:val="002A7325"/>
    <w:rsid w:val="002A7BA5"/>
    <w:rsid w:val="002A7CEA"/>
    <w:rsid w:val="002B0156"/>
    <w:rsid w:val="002B03FD"/>
    <w:rsid w:val="002B0488"/>
    <w:rsid w:val="002B07F7"/>
    <w:rsid w:val="002B16F0"/>
    <w:rsid w:val="002B25C5"/>
    <w:rsid w:val="002B42D0"/>
    <w:rsid w:val="002B5C1A"/>
    <w:rsid w:val="002B5E39"/>
    <w:rsid w:val="002B7333"/>
    <w:rsid w:val="002C018D"/>
    <w:rsid w:val="002C1255"/>
    <w:rsid w:val="002C1D40"/>
    <w:rsid w:val="002C397E"/>
    <w:rsid w:val="002C42CA"/>
    <w:rsid w:val="002C6914"/>
    <w:rsid w:val="002C6991"/>
    <w:rsid w:val="002D1212"/>
    <w:rsid w:val="002D1861"/>
    <w:rsid w:val="002D2E90"/>
    <w:rsid w:val="002D33D5"/>
    <w:rsid w:val="002D3D59"/>
    <w:rsid w:val="002D4775"/>
    <w:rsid w:val="002D749D"/>
    <w:rsid w:val="002D7845"/>
    <w:rsid w:val="002D7A9E"/>
    <w:rsid w:val="002D7EF8"/>
    <w:rsid w:val="002E052C"/>
    <w:rsid w:val="002E15E6"/>
    <w:rsid w:val="002E24F5"/>
    <w:rsid w:val="002E2F92"/>
    <w:rsid w:val="002E3599"/>
    <w:rsid w:val="002E3718"/>
    <w:rsid w:val="002E41A8"/>
    <w:rsid w:val="002E5FA0"/>
    <w:rsid w:val="002E6C47"/>
    <w:rsid w:val="002E743B"/>
    <w:rsid w:val="002F0C75"/>
    <w:rsid w:val="002F1286"/>
    <w:rsid w:val="002F2D82"/>
    <w:rsid w:val="002F3BA8"/>
    <w:rsid w:val="002F3D78"/>
    <w:rsid w:val="002F4D1F"/>
    <w:rsid w:val="002F744B"/>
    <w:rsid w:val="002F7DED"/>
    <w:rsid w:val="00300822"/>
    <w:rsid w:val="00300A14"/>
    <w:rsid w:val="00300B9C"/>
    <w:rsid w:val="00300FDC"/>
    <w:rsid w:val="00303A46"/>
    <w:rsid w:val="00304436"/>
    <w:rsid w:val="00305288"/>
    <w:rsid w:val="00305A5E"/>
    <w:rsid w:val="00306705"/>
    <w:rsid w:val="00306B3E"/>
    <w:rsid w:val="00307DCA"/>
    <w:rsid w:val="003102AD"/>
    <w:rsid w:val="003106B3"/>
    <w:rsid w:val="00310F96"/>
    <w:rsid w:val="0031173B"/>
    <w:rsid w:val="00311F3F"/>
    <w:rsid w:val="0031209F"/>
    <w:rsid w:val="00312187"/>
    <w:rsid w:val="00312AEB"/>
    <w:rsid w:val="00314773"/>
    <w:rsid w:val="00316110"/>
    <w:rsid w:val="00317492"/>
    <w:rsid w:val="0032027F"/>
    <w:rsid w:val="003214C8"/>
    <w:rsid w:val="0032199E"/>
    <w:rsid w:val="003219BF"/>
    <w:rsid w:val="00322F2C"/>
    <w:rsid w:val="003240ED"/>
    <w:rsid w:val="00324A9D"/>
    <w:rsid w:val="00324D9F"/>
    <w:rsid w:val="0032510E"/>
    <w:rsid w:val="0032528E"/>
    <w:rsid w:val="00325B70"/>
    <w:rsid w:val="003261C3"/>
    <w:rsid w:val="003273FF"/>
    <w:rsid w:val="00330A43"/>
    <w:rsid w:val="00330F47"/>
    <w:rsid w:val="003318A9"/>
    <w:rsid w:val="0033191B"/>
    <w:rsid w:val="003323CF"/>
    <w:rsid w:val="00332425"/>
    <w:rsid w:val="0033305A"/>
    <w:rsid w:val="00333662"/>
    <w:rsid w:val="00333E0F"/>
    <w:rsid w:val="00333EC3"/>
    <w:rsid w:val="00334791"/>
    <w:rsid w:val="003350B9"/>
    <w:rsid w:val="0033531C"/>
    <w:rsid w:val="0033582A"/>
    <w:rsid w:val="00335F93"/>
    <w:rsid w:val="00336404"/>
    <w:rsid w:val="00337EB5"/>
    <w:rsid w:val="00340341"/>
    <w:rsid w:val="003404DB"/>
    <w:rsid w:val="00342263"/>
    <w:rsid w:val="00343178"/>
    <w:rsid w:val="003432F0"/>
    <w:rsid w:val="003447EE"/>
    <w:rsid w:val="00345A3D"/>
    <w:rsid w:val="00346E1E"/>
    <w:rsid w:val="00346E5A"/>
    <w:rsid w:val="00350F51"/>
    <w:rsid w:val="00351227"/>
    <w:rsid w:val="00351259"/>
    <w:rsid w:val="003516FD"/>
    <w:rsid w:val="003519B6"/>
    <w:rsid w:val="00352005"/>
    <w:rsid w:val="003521A5"/>
    <w:rsid w:val="003525AA"/>
    <w:rsid w:val="00352609"/>
    <w:rsid w:val="00352F99"/>
    <w:rsid w:val="00353063"/>
    <w:rsid w:val="00353C2B"/>
    <w:rsid w:val="003543F7"/>
    <w:rsid w:val="003575DF"/>
    <w:rsid w:val="00357C5E"/>
    <w:rsid w:val="003611D9"/>
    <w:rsid w:val="003624A7"/>
    <w:rsid w:val="00362551"/>
    <w:rsid w:val="00362C5D"/>
    <w:rsid w:val="00362E02"/>
    <w:rsid w:val="003630CD"/>
    <w:rsid w:val="00364DE5"/>
    <w:rsid w:val="00364FAE"/>
    <w:rsid w:val="0036500A"/>
    <w:rsid w:val="0036645E"/>
    <w:rsid w:val="00366E2A"/>
    <w:rsid w:val="00366F20"/>
    <w:rsid w:val="00367826"/>
    <w:rsid w:val="003705C0"/>
    <w:rsid w:val="00370636"/>
    <w:rsid w:val="003715FF"/>
    <w:rsid w:val="003716AD"/>
    <w:rsid w:val="003736AC"/>
    <w:rsid w:val="00373766"/>
    <w:rsid w:val="00374727"/>
    <w:rsid w:val="00374D2F"/>
    <w:rsid w:val="003759D5"/>
    <w:rsid w:val="00375AAF"/>
    <w:rsid w:val="00375EF0"/>
    <w:rsid w:val="00377949"/>
    <w:rsid w:val="0038034D"/>
    <w:rsid w:val="0038246C"/>
    <w:rsid w:val="00383523"/>
    <w:rsid w:val="00383C05"/>
    <w:rsid w:val="00384044"/>
    <w:rsid w:val="0038501A"/>
    <w:rsid w:val="00385B87"/>
    <w:rsid w:val="0038644F"/>
    <w:rsid w:val="00386E00"/>
    <w:rsid w:val="003907C0"/>
    <w:rsid w:val="0039081F"/>
    <w:rsid w:val="003909D1"/>
    <w:rsid w:val="003910AF"/>
    <w:rsid w:val="00391A13"/>
    <w:rsid w:val="00391BD9"/>
    <w:rsid w:val="00391F69"/>
    <w:rsid w:val="0039327D"/>
    <w:rsid w:val="003938E8"/>
    <w:rsid w:val="00393DAB"/>
    <w:rsid w:val="00394798"/>
    <w:rsid w:val="00394AEB"/>
    <w:rsid w:val="00395313"/>
    <w:rsid w:val="003956A9"/>
    <w:rsid w:val="00395B41"/>
    <w:rsid w:val="00395C9B"/>
    <w:rsid w:val="00395E49"/>
    <w:rsid w:val="00396393"/>
    <w:rsid w:val="00396CA1"/>
    <w:rsid w:val="003979B9"/>
    <w:rsid w:val="003A0513"/>
    <w:rsid w:val="003A1516"/>
    <w:rsid w:val="003A1919"/>
    <w:rsid w:val="003A19E8"/>
    <w:rsid w:val="003A2703"/>
    <w:rsid w:val="003A2A72"/>
    <w:rsid w:val="003A2EBE"/>
    <w:rsid w:val="003A322F"/>
    <w:rsid w:val="003A4151"/>
    <w:rsid w:val="003A5B05"/>
    <w:rsid w:val="003A600C"/>
    <w:rsid w:val="003A6522"/>
    <w:rsid w:val="003A6D1E"/>
    <w:rsid w:val="003A793A"/>
    <w:rsid w:val="003B115D"/>
    <w:rsid w:val="003B1344"/>
    <w:rsid w:val="003B15C1"/>
    <w:rsid w:val="003B2C0D"/>
    <w:rsid w:val="003B3BB6"/>
    <w:rsid w:val="003B441F"/>
    <w:rsid w:val="003B5103"/>
    <w:rsid w:val="003B6CA4"/>
    <w:rsid w:val="003C19EF"/>
    <w:rsid w:val="003C2448"/>
    <w:rsid w:val="003C2EB3"/>
    <w:rsid w:val="003C324D"/>
    <w:rsid w:val="003C3D46"/>
    <w:rsid w:val="003C3D74"/>
    <w:rsid w:val="003C5D53"/>
    <w:rsid w:val="003C6873"/>
    <w:rsid w:val="003C6ECE"/>
    <w:rsid w:val="003C725B"/>
    <w:rsid w:val="003D062D"/>
    <w:rsid w:val="003D0E36"/>
    <w:rsid w:val="003D1292"/>
    <w:rsid w:val="003D1382"/>
    <w:rsid w:val="003D1405"/>
    <w:rsid w:val="003D2471"/>
    <w:rsid w:val="003D3F0D"/>
    <w:rsid w:val="003D4E92"/>
    <w:rsid w:val="003D6076"/>
    <w:rsid w:val="003D6C5F"/>
    <w:rsid w:val="003D6E90"/>
    <w:rsid w:val="003D79B5"/>
    <w:rsid w:val="003E0E89"/>
    <w:rsid w:val="003E2115"/>
    <w:rsid w:val="003E29E3"/>
    <w:rsid w:val="003E2C53"/>
    <w:rsid w:val="003E33A7"/>
    <w:rsid w:val="003E3D4F"/>
    <w:rsid w:val="003E408C"/>
    <w:rsid w:val="003E4238"/>
    <w:rsid w:val="003E46C1"/>
    <w:rsid w:val="003E67BE"/>
    <w:rsid w:val="003E68C8"/>
    <w:rsid w:val="003E7434"/>
    <w:rsid w:val="003E77CC"/>
    <w:rsid w:val="003F2976"/>
    <w:rsid w:val="003F3F08"/>
    <w:rsid w:val="003F4717"/>
    <w:rsid w:val="003F4A51"/>
    <w:rsid w:val="003F4EC1"/>
    <w:rsid w:val="003F6A0D"/>
    <w:rsid w:val="003F6FCE"/>
    <w:rsid w:val="003F78BF"/>
    <w:rsid w:val="0040018F"/>
    <w:rsid w:val="00400835"/>
    <w:rsid w:val="00400A55"/>
    <w:rsid w:val="00402E31"/>
    <w:rsid w:val="0040582D"/>
    <w:rsid w:val="00405BD9"/>
    <w:rsid w:val="00405C49"/>
    <w:rsid w:val="00405E94"/>
    <w:rsid w:val="004063BD"/>
    <w:rsid w:val="00406682"/>
    <w:rsid w:val="004066A2"/>
    <w:rsid w:val="00406E4F"/>
    <w:rsid w:val="00406F75"/>
    <w:rsid w:val="0040789B"/>
    <w:rsid w:val="00410012"/>
    <w:rsid w:val="00411413"/>
    <w:rsid w:val="004115EE"/>
    <w:rsid w:val="00412A1D"/>
    <w:rsid w:val="00413482"/>
    <w:rsid w:val="0041459E"/>
    <w:rsid w:val="0041490F"/>
    <w:rsid w:val="0041511B"/>
    <w:rsid w:val="00415E27"/>
    <w:rsid w:val="00416B1A"/>
    <w:rsid w:val="00420882"/>
    <w:rsid w:val="00420EAA"/>
    <w:rsid w:val="00421709"/>
    <w:rsid w:val="00423283"/>
    <w:rsid w:val="00423425"/>
    <w:rsid w:val="00425690"/>
    <w:rsid w:val="00425943"/>
    <w:rsid w:val="00425D81"/>
    <w:rsid w:val="00426205"/>
    <w:rsid w:val="00426537"/>
    <w:rsid w:val="00426C3E"/>
    <w:rsid w:val="00426D2E"/>
    <w:rsid w:val="00427279"/>
    <w:rsid w:val="00427337"/>
    <w:rsid w:val="0042778B"/>
    <w:rsid w:val="00431100"/>
    <w:rsid w:val="00431195"/>
    <w:rsid w:val="004315CD"/>
    <w:rsid w:val="004323ED"/>
    <w:rsid w:val="00435338"/>
    <w:rsid w:val="004357A4"/>
    <w:rsid w:val="004359ED"/>
    <w:rsid w:val="00436C99"/>
    <w:rsid w:val="004374F2"/>
    <w:rsid w:val="004379F3"/>
    <w:rsid w:val="004429B7"/>
    <w:rsid w:val="00443D53"/>
    <w:rsid w:val="00444D5D"/>
    <w:rsid w:val="00444D97"/>
    <w:rsid w:val="0045258E"/>
    <w:rsid w:val="004526AD"/>
    <w:rsid w:val="00455006"/>
    <w:rsid w:val="004566F6"/>
    <w:rsid w:val="004576D5"/>
    <w:rsid w:val="00460562"/>
    <w:rsid w:val="0046233A"/>
    <w:rsid w:val="00462B6E"/>
    <w:rsid w:val="00463111"/>
    <w:rsid w:val="00463112"/>
    <w:rsid w:val="00464D5C"/>
    <w:rsid w:val="004652E0"/>
    <w:rsid w:val="00465F1D"/>
    <w:rsid w:val="00467E01"/>
    <w:rsid w:val="00471402"/>
    <w:rsid w:val="00472E59"/>
    <w:rsid w:val="0047300C"/>
    <w:rsid w:val="004739EE"/>
    <w:rsid w:val="0047405F"/>
    <w:rsid w:val="00474AB4"/>
    <w:rsid w:val="004759E4"/>
    <w:rsid w:val="00476078"/>
    <w:rsid w:val="00476C4D"/>
    <w:rsid w:val="004777B2"/>
    <w:rsid w:val="00477B8D"/>
    <w:rsid w:val="00480600"/>
    <w:rsid w:val="00480944"/>
    <w:rsid w:val="004816EA"/>
    <w:rsid w:val="004818C0"/>
    <w:rsid w:val="00481BA3"/>
    <w:rsid w:val="00481C3B"/>
    <w:rsid w:val="00481D7F"/>
    <w:rsid w:val="00483A50"/>
    <w:rsid w:val="00483DE9"/>
    <w:rsid w:val="004851E3"/>
    <w:rsid w:val="0048672B"/>
    <w:rsid w:val="004875D7"/>
    <w:rsid w:val="00487EB7"/>
    <w:rsid w:val="00490EE4"/>
    <w:rsid w:val="00492061"/>
    <w:rsid w:val="0049210A"/>
    <w:rsid w:val="004940BE"/>
    <w:rsid w:val="00494DD2"/>
    <w:rsid w:val="004959B3"/>
    <w:rsid w:val="004969A4"/>
    <w:rsid w:val="00496E0C"/>
    <w:rsid w:val="004971AC"/>
    <w:rsid w:val="004971D5"/>
    <w:rsid w:val="004A03B9"/>
    <w:rsid w:val="004A0A44"/>
    <w:rsid w:val="004A0CA2"/>
    <w:rsid w:val="004A1908"/>
    <w:rsid w:val="004A1D45"/>
    <w:rsid w:val="004A251E"/>
    <w:rsid w:val="004A2AF6"/>
    <w:rsid w:val="004A3809"/>
    <w:rsid w:val="004A5163"/>
    <w:rsid w:val="004A5822"/>
    <w:rsid w:val="004A5C59"/>
    <w:rsid w:val="004A7254"/>
    <w:rsid w:val="004A74B2"/>
    <w:rsid w:val="004A7FBD"/>
    <w:rsid w:val="004B03C9"/>
    <w:rsid w:val="004B04FD"/>
    <w:rsid w:val="004B186A"/>
    <w:rsid w:val="004B1D83"/>
    <w:rsid w:val="004B3BA4"/>
    <w:rsid w:val="004B3CC8"/>
    <w:rsid w:val="004B4155"/>
    <w:rsid w:val="004B47A2"/>
    <w:rsid w:val="004B50B0"/>
    <w:rsid w:val="004B61AD"/>
    <w:rsid w:val="004B62DD"/>
    <w:rsid w:val="004B645E"/>
    <w:rsid w:val="004C018D"/>
    <w:rsid w:val="004C019F"/>
    <w:rsid w:val="004C0431"/>
    <w:rsid w:val="004C1A11"/>
    <w:rsid w:val="004C1AD7"/>
    <w:rsid w:val="004C2388"/>
    <w:rsid w:val="004C2FD2"/>
    <w:rsid w:val="004C657E"/>
    <w:rsid w:val="004C7158"/>
    <w:rsid w:val="004C784A"/>
    <w:rsid w:val="004D0906"/>
    <w:rsid w:val="004D0C89"/>
    <w:rsid w:val="004D0F12"/>
    <w:rsid w:val="004D1A18"/>
    <w:rsid w:val="004D2272"/>
    <w:rsid w:val="004D37C9"/>
    <w:rsid w:val="004D408E"/>
    <w:rsid w:val="004D4AE6"/>
    <w:rsid w:val="004D575B"/>
    <w:rsid w:val="004D578D"/>
    <w:rsid w:val="004D678C"/>
    <w:rsid w:val="004D735A"/>
    <w:rsid w:val="004E08B9"/>
    <w:rsid w:val="004E0B56"/>
    <w:rsid w:val="004E10FA"/>
    <w:rsid w:val="004E1869"/>
    <w:rsid w:val="004E1C75"/>
    <w:rsid w:val="004E1D2B"/>
    <w:rsid w:val="004E295A"/>
    <w:rsid w:val="004E2FAE"/>
    <w:rsid w:val="004E38A6"/>
    <w:rsid w:val="004E3DC0"/>
    <w:rsid w:val="004E40EC"/>
    <w:rsid w:val="004E51EA"/>
    <w:rsid w:val="004E5813"/>
    <w:rsid w:val="004E5A38"/>
    <w:rsid w:val="004E5CA3"/>
    <w:rsid w:val="004E799F"/>
    <w:rsid w:val="004E7FD0"/>
    <w:rsid w:val="004F11C0"/>
    <w:rsid w:val="004F1C1E"/>
    <w:rsid w:val="004F27AB"/>
    <w:rsid w:val="004F2F21"/>
    <w:rsid w:val="004F33E9"/>
    <w:rsid w:val="004F3802"/>
    <w:rsid w:val="004F3891"/>
    <w:rsid w:val="004F3903"/>
    <w:rsid w:val="004F6757"/>
    <w:rsid w:val="004F6EF4"/>
    <w:rsid w:val="004F7EE3"/>
    <w:rsid w:val="00500133"/>
    <w:rsid w:val="00500502"/>
    <w:rsid w:val="00500B40"/>
    <w:rsid w:val="0050112A"/>
    <w:rsid w:val="00502691"/>
    <w:rsid w:val="00502BB6"/>
    <w:rsid w:val="00503ADF"/>
    <w:rsid w:val="00505E84"/>
    <w:rsid w:val="00512521"/>
    <w:rsid w:val="00512CE4"/>
    <w:rsid w:val="005132E9"/>
    <w:rsid w:val="005148EB"/>
    <w:rsid w:val="00514B59"/>
    <w:rsid w:val="00514E4B"/>
    <w:rsid w:val="005150A0"/>
    <w:rsid w:val="0051513A"/>
    <w:rsid w:val="00515EC3"/>
    <w:rsid w:val="0051753E"/>
    <w:rsid w:val="00517C6D"/>
    <w:rsid w:val="0052026A"/>
    <w:rsid w:val="005204F2"/>
    <w:rsid w:val="005212EC"/>
    <w:rsid w:val="00521352"/>
    <w:rsid w:val="00521E6F"/>
    <w:rsid w:val="00522C7E"/>
    <w:rsid w:val="0052413A"/>
    <w:rsid w:val="00524197"/>
    <w:rsid w:val="005244AB"/>
    <w:rsid w:val="005248D5"/>
    <w:rsid w:val="00524C9A"/>
    <w:rsid w:val="00525396"/>
    <w:rsid w:val="00525977"/>
    <w:rsid w:val="00525C3F"/>
    <w:rsid w:val="00525FBF"/>
    <w:rsid w:val="005307DB"/>
    <w:rsid w:val="00530EF7"/>
    <w:rsid w:val="005315EB"/>
    <w:rsid w:val="005325B2"/>
    <w:rsid w:val="00532E4C"/>
    <w:rsid w:val="00532E57"/>
    <w:rsid w:val="00532F2B"/>
    <w:rsid w:val="005335BD"/>
    <w:rsid w:val="00534CAE"/>
    <w:rsid w:val="0053544E"/>
    <w:rsid w:val="005359CA"/>
    <w:rsid w:val="00535EAB"/>
    <w:rsid w:val="00537521"/>
    <w:rsid w:val="00537722"/>
    <w:rsid w:val="00540659"/>
    <w:rsid w:val="00540FB4"/>
    <w:rsid w:val="00541EDD"/>
    <w:rsid w:val="00541FF2"/>
    <w:rsid w:val="00543156"/>
    <w:rsid w:val="00545322"/>
    <w:rsid w:val="005455BB"/>
    <w:rsid w:val="005461E8"/>
    <w:rsid w:val="005464B5"/>
    <w:rsid w:val="00546FC4"/>
    <w:rsid w:val="005472B9"/>
    <w:rsid w:val="00551AC5"/>
    <w:rsid w:val="00553710"/>
    <w:rsid w:val="0055465A"/>
    <w:rsid w:val="005546FB"/>
    <w:rsid w:val="00554736"/>
    <w:rsid w:val="005548FD"/>
    <w:rsid w:val="005553CB"/>
    <w:rsid w:val="005558EB"/>
    <w:rsid w:val="005564D5"/>
    <w:rsid w:val="005574E0"/>
    <w:rsid w:val="00557735"/>
    <w:rsid w:val="00560CAA"/>
    <w:rsid w:val="005619E7"/>
    <w:rsid w:val="0056290C"/>
    <w:rsid w:val="00563DE1"/>
    <w:rsid w:val="00564065"/>
    <w:rsid w:val="0056550F"/>
    <w:rsid w:val="00565E62"/>
    <w:rsid w:val="00566297"/>
    <w:rsid w:val="00567DC9"/>
    <w:rsid w:val="0057059D"/>
    <w:rsid w:val="00570F23"/>
    <w:rsid w:val="005711D7"/>
    <w:rsid w:val="00571FB9"/>
    <w:rsid w:val="00572C3B"/>
    <w:rsid w:val="0057346B"/>
    <w:rsid w:val="00573AA7"/>
    <w:rsid w:val="005743BC"/>
    <w:rsid w:val="005745C1"/>
    <w:rsid w:val="00574651"/>
    <w:rsid w:val="0057469F"/>
    <w:rsid w:val="005756E9"/>
    <w:rsid w:val="005758D4"/>
    <w:rsid w:val="005763A1"/>
    <w:rsid w:val="00576D6E"/>
    <w:rsid w:val="00577208"/>
    <w:rsid w:val="00577537"/>
    <w:rsid w:val="00580977"/>
    <w:rsid w:val="00581E6B"/>
    <w:rsid w:val="005826E7"/>
    <w:rsid w:val="00582CB3"/>
    <w:rsid w:val="0058375B"/>
    <w:rsid w:val="00585BEA"/>
    <w:rsid w:val="005867FB"/>
    <w:rsid w:val="00586BA6"/>
    <w:rsid w:val="00587CC5"/>
    <w:rsid w:val="00590471"/>
    <w:rsid w:val="005913BC"/>
    <w:rsid w:val="0059175A"/>
    <w:rsid w:val="00593247"/>
    <w:rsid w:val="005935F9"/>
    <w:rsid w:val="00593F68"/>
    <w:rsid w:val="00595084"/>
    <w:rsid w:val="00596F6A"/>
    <w:rsid w:val="005A027C"/>
    <w:rsid w:val="005A0943"/>
    <w:rsid w:val="005A0C4D"/>
    <w:rsid w:val="005A2A26"/>
    <w:rsid w:val="005A2A77"/>
    <w:rsid w:val="005A325B"/>
    <w:rsid w:val="005A394F"/>
    <w:rsid w:val="005A3ED3"/>
    <w:rsid w:val="005A47EA"/>
    <w:rsid w:val="005A49D8"/>
    <w:rsid w:val="005A5203"/>
    <w:rsid w:val="005A5CA8"/>
    <w:rsid w:val="005A5FCE"/>
    <w:rsid w:val="005A6030"/>
    <w:rsid w:val="005A60C2"/>
    <w:rsid w:val="005B1D37"/>
    <w:rsid w:val="005B208C"/>
    <w:rsid w:val="005B26C4"/>
    <w:rsid w:val="005B2DE0"/>
    <w:rsid w:val="005B35C5"/>
    <w:rsid w:val="005B5F30"/>
    <w:rsid w:val="005B6A03"/>
    <w:rsid w:val="005B6B34"/>
    <w:rsid w:val="005B7989"/>
    <w:rsid w:val="005B7C67"/>
    <w:rsid w:val="005C0EEE"/>
    <w:rsid w:val="005C1A5E"/>
    <w:rsid w:val="005C2F82"/>
    <w:rsid w:val="005C3322"/>
    <w:rsid w:val="005C3C67"/>
    <w:rsid w:val="005C48FB"/>
    <w:rsid w:val="005C56CD"/>
    <w:rsid w:val="005C6578"/>
    <w:rsid w:val="005D2EB8"/>
    <w:rsid w:val="005D3785"/>
    <w:rsid w:val="005D5B19"/>
    <w:rsid w:val="005D5CDD"/>
    <w:rsid w:val="005D6A2F"/>
    <w:rsid w:val="005D6B75"/>
    <w:rsid w:val="005D780E"/>
    <w:rsid w:val="005D7F7F"/>
    <w:rsid w:val="005E0FD3"/>
    <w:rsid w:val="005E24A6"/>
    <w:rsid w:val="005E44D3"/>
    <w:rsid w:val="005E4961"/>
    <w:rsid w:val="005E4FF4"/>
    <w:rsid w:val="005E5530"/>
    <w:rsid w:val="005E6241"/>
    <w:rsid w:val="005E661A"/>
    <w:rsid w:val="005E6FC4"/>
    <w:rsid w:val="005E7512"/>
    <w:rsid w:val="005E7E10"/>
    <w:rsid w:val="005F00A7"/>
    <w:rsid w:val="005F0442"/>
    <w:rsid w:val="005F0565"/>
    <w:rsid w:val="005F1501"/>
    <w:rsid w:val="005F1743"/>
    <w:rsid w:val="005F1948"/>
    <w:rsid w:val="005F1F0F"/>
    <w:rsid w:val="005F3B00"/>
    <w:rsid w:val="005F4039"/>
    <w:rsid w:val="005F4211"/>
    <w:rsid w:val="005F4336"/>
    <w:rsid w:val="005F5BD5"/>
    <w:rsid w:val="005F6467"/>
    <w:rsid w:val="005F6797"/>
    <w:rsid w:val="005F725D"/>
    <w:rsid w:val="0060007F"/>
    <w:rsid w:val="006007F5"/>
    <w:rsid w:val="00601841"/>
    <w:rsid w:val="00601A67"/>
    <w:rsid w:val="00601EB4"/>
    <w:rsid w:val="006028EB"/>
    <w:rsid w:val="00602D89"/>
    <w:rsid w:val="006032EB"/>
    <w:rsid w:val="00604B65"/>
    <w:rsid w:val="00604E64"/>
    <w:rsid w:val="00605268"/>
    <w:rsid w:val="00606A63"/>
    <w:rsid w:val="00606EF3"/>
    <w:rsid w:val="006076F0"/>
    <w:rsid w:val="00607EBE"/>
    <w:rsid w:val="00613FB4"/>
    <w:rsid w:val="006155F7"/>
    <w:rsid w:val="00616F27"/>
    <w:rsid w:val="00617E1A"/>
    <w:rsid w:val="0062047F"/>
    <w:rsid w:val="00621D68"/>
    <w:rsid w:val="00623089"/>
    <w:rsid w:val="0062333B"/>
    <w:rsid w:val="0062412B"/>
    <w:rsid w:val="006244CB"/>
    <w:rsid w:val="00624ED8"/>
    <w:rsid w:val="006270D4"/>
    <w:rsid w:val="0062737C"/>
    <w:rsid w:val="00630011"/>
    <w:rsid w:val="00630686"/>
    <w:rsid w:val="006306F2"/>
    <w:rsid w:val="00630796"/>
    <w:rsid w:val="00634A79"/>
    <w:rsid w:val="00634DC0"/>
    <w:rsid w:val="006357F9"/>
    <w:rsid w:val="006359CB"/>
    <w:rsid w:val="006360CB"/>
    <w:rsid w:val="006363BD"/>
    <w:rsid w:val="0063721B"/>
    <w:rsid w:val="00637B07"/>
    <w:rsid w:val="00637FBE"/>
    <w:rsid w:val="00640AAF"/>
    <w:rsid w:val="00640E14"/>
    <w:rsid w:val="00641347"/>
    <w:rsid w:val="0064250C"/>
    <w:rsid w:val="00643A6B"/>
    <w:rsid w:val="00644438"/>
    <w:rsid w:val="00645131"/>
    <w:rsid w:val="00646113"/>
    <w:rsid w:val="006467C9"/>
    <w:rsid w:val="00647D52"/>
    <w:rsid w:val="006502F5"/>
    <w:rsid w:val="00650F91"/>
    <w:rsid w:val="0065169F"/>
    <w:rsid w:val="006521DB"/>
    <w:rsid w:val="006523F1"/>
    <w:rsid w:val="00652C38"/>
    <w:rsid w:val="006538EE"/>
    <w:rsid w:val="00653D14"/>
    <w:rsid w:val="00654A6D"/>
    <w:rsid w:val="006557C5"/>
    <w:rsid w:val="006573AB"/>
    <w:rsid w:val="00661DE4"/>
    <w:rsid w:val="0066343C"/>
    <w:rsid w:val="00664522"/>
    <w:rsid w:val="00670666"/>
    <w:rsid w:val="006706C4"/>
    <w:rsid w:val="0067130E"/>
    <w:rsid w:val="00672D3C"/>
    <w:rsid w:val="0067321B"/>
    <w:rsid w:val="006753A9"/>
    <w:rsid w:val="00675549"/>
    <w:rsid w:val="00681839"/>
    <w:rsid w:val="00682AD3"/>
    <w:rsid w:val="00683082"/>
    <w:rsid w:val="006832CA"/>
    <w:rsid w:val="00683A8C"/>
    <w:rsid w:val="0068524B"/>
    <w:rsid w:val="00685D93"/>
    <w:rsid w:val="00686715"/>
    <w:rsid w:val="00686993"/>
    <w:rsid w:val="00687B7B"/>
    <w:rsid w:val="0069042C"/>
    <w:rsid w:val="00690F5E"/>
    <w:rsid w:val="00691C0F"/>
    <w:rsid w:val="00692383"/>
    <w:rsid w:val="00692EDC"/>
    <w:rsid w:val="0069367E"/>
    <w:rsid w:val="00694923"/>
    <w:rsid w:val="00694991"/>
    <w:rsid w:val="00694F14"/>
    <w:rsid w:val="00695188"/>
    <w:rsid w:val="00695614"/>
    <w:rsid w:val="00695E14"/>
    <w:rsid w:val="006963EA"/>
    <w:rsid w:val="006977D8"/>
    <w:rsid w:val="00697BCA"/>
    <w:rsid w:val="00697D04"/>
    <w:rsid w:val="006A049E"/>
    <w:rsid w:val="006A0A38"/>
    <w:rsid w:val="006A127A"/>
    <w:rsid w:val="006A160F"/>
    <w:rsid w:val="006A336F"/>
    <w:rsid w:val="006A3E5D"/>
    <w:rsid w:val="006A423B"/>
    <w:rsid w:val="006A5470"/>
    <w:rsid w:val="006A56F2"/>
    <w:rsid w:val="006A6A16"/>
    <w:rsid w:val="006A7A0F"/>
    <w:rsid w:val="006B0AF4"/>
    <w:rsid w:val="006B0E4B"/>
    <w:rsid w:val="006B112E"/>
    <w:rsid w:val="006B18A3"/>
    <w:rsid w:val="006B1F12"/>
    <w:rsid w:val="006B2248"/>
    <w:rsid w:val="006B2E34"/>
    <w:rsid w:val="006B437C"/>
    <w:rsid w:val="006B4B2F"/>
    <w:rsid w:val="006B5F4A"/>
    <w:rsid w:val="006B7421"/>
    <w:rsid w:val="006B74AD"/>
    <w:rsid w:val="006B7DBE"/>
    <w:rsid w:val="006C203B"/>
    <w:rsid w:val="006C2ACF"/>
    <w:rsid w:val="006C3371"/>
    <w:rsid w:val="006C3E75"/>
    <w:rsid w:val="006C426D"/>
    <w:rsid w:val="006C4577"/>
    <w:rsid w:val="006C5028"/>
    <w:rsid w:val="006C52C3"/>
    <w:rsid w:val="006C5681"/>
    <w:rsid w:val="006C5BB4"/>
    <w:rsid w:val="006C621E"/>
    <w:rsid w:val="006C6306"/>
    <w:rsid w:val="006C649D"/>
    <w:rsid w:val="006C697C"/>
    <w:rsid w:val="006C6A13"/>
    <w:rsid w:val="006C7583"/>
    <w:rsid w:val="006C76AE"/>
    <w:rsid w:val="006C7F3D"/>
    <w:rsid w:val="006D029C"/>
    <w:rsid w:val="006D0C8C"/>
    <w:rsid w:val="006D27E8"/>
    <w:rsid w:val="006D2856"/>
    <w:rsid w:val="006D302A"/>
    <w:rsid w:val="006D31A1"/>
    <w:rsid w:val="006D345A"/>
    <w:rsid w:val="006D3787"/>
    <w:rsid w:val="006D64AA"/>
    <w:rsid w:val="006D678D"/>
    <w:rsid w:val="006D67EF"/>
    <w:rsid w:val="006E0363"/>
    <w:rsid w:val="006E1563"/>
    <w:rsid w:val="006E29DE"/>
    <w:rsid w:val="006E4942"/>
    <w:rsid w:val="006E56DA"/>
    <w:rsid w:val="006E5BD1"/>
    <w:rsid w:val="006E6982"/>
    <w:rsid w:val="006E7828"/>
    <w:rsid w:val="006F321C"/>
    <w:rsid w:val="006F467E"/>
    <w:rsid w:val="006F5BA9"/>
    <w:rsid w:val="006F5F4A"/>
    <w:rsid w:val="006F65F9"/>
    <w:rsid w:val="006F711D"/>
    <w:rsid w:val="006F7A6A"/>
    <w:rsid w:val="00700852"/>
    <w:rsid w:val="0070089B"/>
    <w:rsid w:val="0070218C"/>
    <w:rsid w:val="007026EC"/>
    <w:rsid w:val="00702DFD"/>
    <w:rsid w:val="00703B14"/>
    <w:rsid w:val="00705A25"/>
    <w:rsid w:val="00705E13"/>
    <w:rsid w:val="00705E28"/>
    <w:rsid w:val="007060FF"/>
    <w:rsid w:val="00706562"/>
    <w:rsid w:val="00706CC0"/>
    <w:rsid w:val="00706D8A"/>
    <w:rsid w:val="00706EE4"/>
    <w:rsid w:val="00707409"/>
    <w:rsid w:val="00710187"/>
    <w:rsid w:val="0071064E"/>
    <w:rsid w:val="00711910"/>
    <w:rsid w:val="00712A62"/>
    <w:rsid w:val="0071340F"/>
    <w:rsid w:val="00714B37"/>
    <w:rsid w:val="00715950"/>
    <w:rsid w:val="0071646E"/>
    <w:rsid w:val="00716D4A"/>
    <w:rsid w:val="007175FD"/>
    <w:rsid w:val="00717FFE"/>
    <w:rsid w:val="0072012B"/>
    <w:rsid w:val="007201A6"/>
    <w:rsid w:val="00720ECD"/>
    <w:rsid w:val="00721504"/>
    <w:rsid w:val="00722830"/>
    <w:rsid w:val="007241BA"/>
    <w:rsid w:val="00724FF8"/>
    <w:rsid w:val="00725147"/>
    <w:rsid w:val="00725D4D"/>
    <w:rsid w:val="00726875"/>
    <w:rsid w:val="007269B8"/>
    <w:rsid w:val="00727EAF"/>
    <w:rsid w:val="00730375"/>
    <w:rsid w:val="007319FC"/>
    <w:rsid w:val="00731C16"/>
    <w:rsid w:val="00734A12"/>
    <w:rsid w:val="00734B79"/>
    <w:rsid w:val="00734D63"/>
    <w:rsid w:val="00736683"/>
    <w:rsid w:val="00737392"/>
    <w:rsid w:val="00737883"/>
    <w:rsid w:val="007379C8"/>
    <w:rsid w:val="007379DF"/>
    <w:rsid w:val="007408B5"/>
    <w:rsid w:val="00740DFB"/>
    <w:rsid w:val="00740EC2"/>
    <w:rsid w:val="00740F1E"/>
    <w:rsid w:val="007410BC"/>
    <w:rsid w:val="0074134A"/>
    <w:rsid w:val="007413AA"/>
    <w:rsid w:val="00741464"/>
    <w:rsid w:val="0074172D"/>
    <w:rsid w:val="007417ED"/>
    <w:rsid w:val="007418F9"/>
    <w:rsid w:val="00741D56"/>
    <w:rsid w:val="00742205"/>
    <w:rsid w:val="00742D39"/>
    <w:rsid w:val="007435C4"/>
    <w:rsid w:val="00743B22"/>
    <w:rsid w:val="00743BA5"/>
    <w:rsid w:val="00743FFE"/>
    <w:rsid w:val="007441FA"/>
    <w:rsid w:val="00744624"/>
    <w:rsid w:val="007456E9"/>
    <w:rsid w:val="007467A4"/>
    <w:rsid w:val="00746E0E"/>
    <w:rsid w:val="00747867"/>
    <w:rsid w:val="00747C57"/>
    <w:rsid w:val="00750047"/>
    <w:rsid w:val="00750867"/>
    <w:rsid w:val="00750C47"/>
    <w:rsid w:val="00750F2E"/>
    <w:rsid w:val="0075308C"/>
    <w:rsid w:val="007532D6"/>
    <w:rsid w:val="00753597"/>
    <w:rsid w:val="00754983"/>
    <w:rsid w:val="007549D0"/>
    <w:rsid w:val="00754CF8"/>
    <w:rsid w:val="00755750"/>
    <w:rsid w:val="0075726B"/>
    <w:rsid w:val="007602B9"/>
    <w:rsid w:val="0076057A"/>
    <w:rsid w:val="0076110B"/>
    <w:rsid w:val="00761893"/>
    <w:rsid w:val="00762C8F"/>
    <w:rsid w:val="007647D3"/>
    <w:rsid w:val="00764CFA"/>
    <w:rsid w:val="00765063"/>
    <w:rsid w:val="0076520E"/>
    <w:rsid w:val="00765307"/>
    <w:rsid w:val="00766215"/>
    <w:rsid w:val="00766221"/>
    <w:rsid w:val="00766E38"/>
    <w:rsid w:val="00767037"/>
    <w:rsid w:val="0076748D"/>
    <w:rsid w:val="0077011F"/>
    <w:rsid w:val="007706B9"/>
    <w:rsid w:val="00770D45"/>
    <w:rsid w:val="0077229C"/>
    <w:rsid w:val="00772392"/>
    <w:rsid w:val="007753B7"/>
    <w:rsid w:val="007761DF"/>
    <w:rsid w:val="00776585"/>
    <w:rsid w:val="00776634"/>
    <w:rsid w:val="00777B6A"/>
    <w:rsid w:val="00777E64"/>
    <w:rsid w:val="00777E71"/>
    <w:rsid w:val="007804A3"/>
    <w:rsid w:val="00782C86"/>
    <w:rsid w:val="00783788"/>
    <w:rsid w:val="0078395E"/>
    <w:rsid w:val="00785F7E"/>
    <w:rsid w:val="007860C1"/>
    <w:rsid w:val="00786714"/>
    <w:rsid w:val="00786FD4"/>
    <w:rsid w:val="007872FF"/>
    <w:rsid w:val="007915D4"/>
    <w:rsid w:val="0079194C"/>
    <w:rsid w:val="007927A5"/>
    <w:rsid w:val="00792DFE"/>
    <w:rsid w:val="00793DE5"/>
    <w:rsid w:val="007945D2"/>
    <w:rsid w:val="007946C9"/>
    <w:rsid w:val="0079570D"/>
    <w:rsid w:val="00795878"/>
    <w:rsid w:val="00795ECA"/>
    <w:rsid w:val="00795ED3"/>
    <w:rsid w:val="007A0A7E"/>
    <w:rsid w:val="007A0B8B"/>
    <w:rsid w:val="007A201D"/>
    <w:rsid w:val="007A2359"/>
    <w:rsid w:val="007A4422"/>
    <w:rsid w:val="007A446B"/>
    <w:rsid w:val="007A454B"/>
    <w:rsid w:val="007A4BAF"/>
    <w:rsid w:val="007A4BF0"/>
    <w:rsid w:val="007B0891"/>
    <w:rsid w:val="007B1580"/>
    <w:rsid w:val="007B1891"/>
    <w:rsid w:val="007B2239"/>
    <w:rsid w:val="007B26BB"/>
    <w:rsid w:val="007B2754"/>
    <w:rsid w:val="007B3178"/>
    <w:rsid w:val="007B40F2"/>
    <w:rsid w:val="007B5DAD"/>
    <w:rsid w:val="007B60CF"/>
    <w:rsid w:val="007B7886"/>
    <w:rsid w:val="007B79D1"/>
    <w:rsid w:val="007C00F7"/>
    <w:rsid w:val="007C0921"/>
    <w:rsid w:val="007C0FB2"/>
    <w:rsid w:val="007C1941"/>
    <w:rsid w:val="007C2C94"/>
    <w:rsid w:val="007C3D95"/>
    <w:rsid w:val="007C4DA8"/>
    <w:rsid w:val="007C5ED8"/>
    <w:rsid w:val="007C736B"/>
    <w:rsid w:val="007D02A5"/>
    <w:rsid w:val="007D060D"/>
    <w:rsid w:val="007D0974"/>
    <w:rsid w:val="007D2090"/>
    <w:rsid w:val="007D34DB"/>
    <w:rsid w:val="007D35C8"/>
    <w:rsid w:val="007D3E4B"/>
    <w:rsid w:val="007D4489"/>
    <w:rsid w:val="007D531B"/>
    <w:rsid w:val="007D67D4"/>
    <w:rsid w:val="007E0D08"/>
    <w:rsid w:val="007E1C26"/>
    <w:rsid w:val="007E3DF3"/>
    <w:rsid w:val="007E47AB"/>
    <w:rsid w:val="007E5083"/>
    <w:rsid w:val="007E6AB9"/>
    <w:rsid w:val="007E6E2F"/>
    <w:rsid w:val="007E76CC"/>
    <w:rsid w:val="007E79DA"/>
    <w:rsid w:val="007E7AB9"/>
    <w:rsid w:val="007F22C8"/>
    <w:rsid w:val="007F303B"/>
    <w:rsid w:val="007F3767"/>
    <w:rsid w:val="007F4427"/>
    <w:rsid w:val="007F717D"/>
    <w:rsid w:val="007F7ED9"/>
    <w:rsid w:val="008011EF"/>
    <w:rsid w:val="00801ECD"/>
    <w:rsid w:val="008031A8"/>
    <w:rsid w:val="00803478"/>
    <w:rsid w:val="008034D8"/>
    <w:rsid w:val="00803500"/>
    <w:rsid w:val="00804E59"/>
    <w:rsid w:val="00806365"/>
    <w:rsid w:val="00806CF5"/>
    <w:rsid w:val="00810FCD"/>
    <w:rsid w:val="008113E8"/>
    <w:rsid w:val="00812054"/>
    <w:rsid w:val="00812CDD"/>
    <w:rsid w:val="00812D12"/>
    <w:rsid w:val="00813687"/>
    <w:rsid w:val="00813707"/>
    <w:rsid w:val="00813D23"/>
    <w:rsid w:val="008149F5"/>
    <w:rsid w:val="008160A3"/>
    <w:rsid w:val="008162AA"/>
    <w:rsid w:val="0081658C"/>
    <w:rsid w:val="0081662A"/>
    <w:rsid w:val="00817BC1"/>
    <w:rsid w:val="00821041"/>
    <w:rsid w:val="00822968"/>
    <w:rsid w:val="00823433"/>
    <w:rsid w:val="00824129"/>
    <w:rsid w:val="008244ED"/>
    <w:rsid w:val="00825084"/>
    <w:rsid w:val="0082544E"/>
    <w:rsid w:val="008258F7"/>
    <w:rsid w:val="00825A97"/>
    <w:rsid w:val="008266FF"/>
    <w:rsid w:val="008268A3"/>
    <w:rsid w:val="008274AC"/>
    <w:rsid w:val="008278C0"/>
    <w:rsid w:val="008300DD"/>
    <w:rsid w:val="00830511"/>
    <w:rsid w:val="00832E91"/>
    <w:rsid w:val="00833195"/>
    <w:rsid w:val="008344E7"/>
    <w:rsid w:val="00834977"/>
    <w:rsid w:val="00836815"/>
    <w:rsid w:val="0083706A"/>
    <w:rsid w:val="0083738C"/>
    <w:rsid w:val="008373C5"/>
    <w:rsid w:val="0083757D"/>
    <w:rsid w:val="00840CA5"/>
    <w:rsid w:val="00840CAA"/>
    <w:rsid w:val="0084105A"/>
    <w:rsid w:val="00841A1C"/>
    <w:rsid w:val="0084251D"/>
    <w:rsid w:val="00842DCF"/>
    <w:rsid w:val="00846182"/>
    <w:rsid w:val="00846A45"/>
    <w:rsid w:val="00846F7F"/>
    <w:rsid w:val="00850ABB"/>
    <w:rsid w:val="00850D64"/>
    <w:rsid w:val="008534A0"/>
    <w:rsid w:val="008546CA"/>
    <w:rsid w:val="00860120"/>
    <w:rsid w:val="0086048B"/>
    <w:rsid w:val="00860CD6"/>
    <w:rsid w:val="008610F9"/>
    <w:rsid w:val="0086113A"/>
    <w:rsid w:val="008625C3"/>
    <w:rsid w:val="00862868"/>
    <w:rsid w:val="00862CA6"/>
    <w:rsid w:val="00862DD9"/>
    <w:rsid w:val="0086346B"/>
    <w:rsid w:val="00863672"/>
    <w:rsid w:val="00864645"/>
    <w:rsid w:val="00864835"/>
    <w:rsid w:val="00864BB7"/>
    <w:rsid w:val="00864DCD"/>
    <w:rsid w:val="00864E0E"/>
    <w:rsid w:val="0086588F"/>
    <w:rsid w:val="00865BEC"/>
    <w:rsid w:val="00865CC2"/>
    <w:rsid w:val="00866299"/>
    <w:rsid w:val="008701FC"/>
    <w:rsid w:val="008710C6"/>
    <w:rsid w:val="00871F57"/>
    <w:rsid w:val="00871F97"/>
    <w:rsid w:val="008721B8"/>
    <w:rsid w:val="0087249F"/>
    <w:rsid w:val="0087376A"/>
    <w:rsid w:val="008740AA"/>
    <w:rsid w:val="008757B1"/>
    <w:rsid w:val="00875ECA"/>
    <w:rsid w:val="00876E31"/>
    <w:rsid w:val="00877617"/>
    <w:rsid w:val="00877C39"/>
    <w:rsid w:val="00877CF1"/>
    <w:rsid w:val="008803BB"/>
    <w:rsid w:val="00880BF3"/>
    <w:rsid w:val="00881237"/>
    <w:rsid w:val="00883556"/>
    <w:rsid w:val="008836C0"/>
    <w:rsid w:val="008851BB"/>
    <w:rsid w:val="0088678D"/>
    <w:rsid w:val="008871E5"/>
    <w:rsid w:val="008876D4"/>
    <w:rsid w:val="00887B21"/>
    <w:rsid w:val="00887B2C"/>
    <w:rsid w:val="00890434"/>
    <w:rsid w:val="00891E02"/>
    <w:rsid w:val="0089246A"/>
    <w:rsid w:val="00892E67"/>
    <w:rsid w:val="008937D0"/>
    <w:rsid w:val="008937F8"/>
    <w:rsid w:val="00893BBE"/>
    <w:rsid w:val="00893C36"/>
    <w:rsid w:val="00894E55"/>
    <w:rsid w:val="00895D6B"/>
    <w:rsid w:val="00897178"/>
    <w:rsid w:val="008A02AB"/>
    <w:rsid w:val="008A1237"/>
    <w:rsid w:val="008A2448"/>
    <w:rsid w:val="008A3604"/>
    <w:rsid w:val="008A592E"/>
    <w:rsid w:val="008A59A3"/>
    <w:rsid w:val="008A5D80"/>
    <w:rsid w:val="008A5ED2"/>
    <w:rsid w:val="008A7023"/>
    <w:rsid w:val="008A79BC"/>
    <w:rsid w:val="008B1236"/>
    <w:rsid w:val="008B12DB"/>
    <w:rsid w:val="008B1DA5"/>
    <w:rsid w:val="008B24FF"/>
    <w:rsid w:val="008B2A62"/>
    <w:rsid w:val="008B3180"/>
    <w:rsid w:val="008B35E3"/>
    <w:rsid w:val="008B3DE7"/>
    <w:rsid w:val="008B4187"/>
    <w:rsid w:val="008B578F"/>
    <w:rsid w:val="008B59E2"/>
    <w:rsid w:val="008C120B"/>
    <w:rsid w:val="008C1354"/>
    <w:rsid w:val="008C2238"/>
    <w:rsid w:val="008C3374"/>
    <w:rsid w:val="008C49F0"/>
    <w:rsid w:val="008C5366"/>
    <w:rsid w:val="008C6043"/>
    <w:rsid w:val="008C6BA3"/>
    <w:rsid w:val="008C6ECE"/>
    <w:rsid w:val="008C74F4"/>
    <w:rsid w:val="008C7FFB"/>
    <w:rsid w:val="008D058E"/>
    <w:rsid w:val="008D1CE1"/>
    <w:rsid w:val="008D1EF4"/>
    <w:rsid w:val="008D4114"/>
    <w:rsid w:val="008D5DE7"/>
    <w:rsid w:val="008D7032"/>
    <w:rsid w:val="008D72B6"/>
    <w:rsid w:val="008E0BBD"/>
    <w:rsid w:val="008E0DC7"/>
    <w:rsid w:val="008E0E52"/>
    <w:rsid w:val="008E1980"/>
    <w:rsid w:val="008E1CFD"/>
    <w:rsid w:val="008E39C9"/>
    <w:rsid w:val="008E3C28"/>
    <w:rsid w:val="008E4627"/>
    <w:rsid w:val="008F05B7"/>
    <w:rsid w:val="008F0668"/>
    <w:rsid w:val="008F0B39"/>
    <w:rsid w:val="008F11F5"/>
    <w:rsid w:val="008F12E7"/>
    <w:rsid w:val="008F1DAD"/>
    <w:rsid w:val="008F1FA6"/>
    <w:rsid w:val="008F2171"/>
    <w:rsid w:val="008F23AD"/>
    <w:rsid w:val="008F254F"/>
    <w:rsid w:val="008F77E4"/>
    <w:rsid w:val="008F7AB6"/>
    <w:rsid w:val="00900B6F"/>
    <w:rsid w:val="00900C0C"/>
    <w:rsid w:val="0090143A"/>
    <w:rsid w:val="00902028"/>
    <w:rsid w:val="00902C22"/>
    <w:rsid w:val="00904690"/>
    <w:rsid w:val="00904D19"/>
    <w:rsid w:val="00905F63"/>
    <w:rsid w:val="00906231"/>
    <w:rsid w:val="0090726C"/>
    <w:rsid w:val="009116D3"/>
    <w:rsid w:val="00912088"/>
    <w:rsid w:val="00912230"/>
    <w:rsid w:val="009122A2"/>
    <w:rsid w:val="009122A6"/>
    <w:rsid w:val="00913169"/>
    <w:rsid w:val="00914BDF"/>
    <w:rsid w:val="0091526D"/>
    <w:rsid w:val="009165A3"/>
    <w:rsid w:val="009169A3"/>
    <w:rsid w:val="00917690"/>
    <w:rsid w:val="009200DC"/>
    <w:rsid w:val="0092188C"/>
    <w:rsid w:val="009235DE"/>
    <w:rsid w:val="0092511A"/>
    <w:rsid w:val="0092532A"/>
    <w:rsid w:val="00925D0F"/>
    <w:rsid w:val="00925DDD"/>
    <w:rsid w:val="00927152"/>
    <w:rsid w:val="00927D21"/>
    <w:rsid w:val="009302B7"/>
    <w:rsid w:val="009303A7"/>
    <w:rsid w:val="00931BD4"/>
    <w:rsid w:val="00931FDE"/>
    <w:rsid w:val="009320E7"/>
    <w:rsid w:val="00933D67"/>
    <w:rsid w:val="009341AC"/>
    <w:rsid w:val="00935E23"/>
    <w:rsid w:val="00935F93"/>
    <w:rsid w:val="00936168"/>
    <w:rsid w:val="00936247"/>
    <w:rsid w:val="00937EDB"/>
    <w:rsid w:val="00940202"/>
    <w:rsid w:val="009405BF"/>
    <w:rsid w:val="00940819"/>
    <w:rsid w:val="00941957"/>
    <w:rsid w:val="00941979"/>
    <w:rsid w:val="00943A98"/>
    <w:rsid w:val="00943BF8"/>
    <w:rsid w:val="00944613"/>
    <w:rsid w:val="00944CDB"/>
    <w:rsid w:val="009454BF"/>
    <w:rsid w:val="00946EA4"/>
    <w:rsid w:val="00947FB8"/>
    <w:rsid w:val="00950934"/>
    <w:rsid w:val="00950B2B"/>
    <w:rsid w:val="00951246"/>
    <w:rsid w:val="009527C8"/>
    <w:rsid w:val="00953335"/>
    <w:rsid w:val="00953701"/>
    <w:rsid w:val="00953F6A"/>
    <w:rsid w:val="009552B5"/>
    <w:rsid w:val="00955891"/>
    <w:rsid w:val="00956BD5"/>
    <w:rsid w:val="00956DA6"/>
    <w:rsid w:val="00956F9C"/>
    <w:rsid w:val="0095730C"/>
    <w:rsid w:val="009579E4"/>
    <w:rsid w:val="009579FD"/>
    <w:rsid w:val="00957B7C"/>
    <w:rsid w:val="0096027A"/>
    <w:rsid w:val="00960A35"/>
    <w:rsid w:val="00961B4E"/>
    <w:rsid w:val="0096233D"/>
    <w:rsid w:val="00963664"/>
    <w:rsid w:val="0096453B"/>
    <w:rsid w:val="0096455C"/>
    <w:rsid w:val="00964BB6"/>
    <w:rsid w:val="00965591"/>
    <w:rsid w:val="0096601D"/>
    <w:rsid w:val="00966C97"/>
    <w:rsid w:val="009676F7"/>
    <w:rsid w:val="00967F87"/>
    <w:rsid w:val="00971820"/>
    <w:rsid w:val="00972338"/>
    <w:rsid w:val="00974CC3"/>
    <w:rsid w:val="009756C9"/>
    <w:rsid w:val="00975E92"/>
    <w:rsid w:val="0097615F"/>
    <w:rsid w:val="009769F9"/>
    <w:rsid w:val="00976BF3"/>
    <w:rsid w:val="0097784C"/>
    <w:rsid w:val="00977B6C"/>
    <w:rsid w:val="009808D0"/>
    <w:rsid w:val="00980A22"/>
    <w:rsid w:val="0098426B"/>
    <w:rsid w:val="00984B33"/>
    <w:rsid w:val="00985ACB"/>
    <w:rsid w:val="00985CE6"/>
    <w:rsid w:val="00986894"/>
    <w:rsid w:val="009870E2"/>
    <w:rsid w:val="00987A5F"/>
    <w:rsid w:val="009900C3"/>
    <w:rsid w:val="009901FE"/>
    <w:rsid w:val="00990D1B"/>
    <w:rsid w:val="00991A42"/>
    <w:rsid w:val="0099354C"/>
    <w:rsid w:val="009938AA"/>
    <w:rsid w:val="00993984"/>
    <w:rsid w:val="00994262"/>
    <w:rsid w:val="00994CA2"/>
    <w:rsid w:val="0099507A"/>
    <w:rsid w:val="009957BE"/>
    <w:rsid w:val="00995DA5"/>
    <w:rsid w:val="009963C5"/>
    <w:rsid w:val="00997509"/>
    <w:rsid w:val="009A0356"/>
    <w:rsid w:val="009A1610"/>
    <w:rsid w:val="009A29DA"/>
    <w:rsid w:val="009A2D6A"/>
    <w:rsid w:val="009A3ABC"/>
    <w:rsid w:val="009A3D2A"/>
    <w:rsid w:val="009A3E82"/>
    <w:rsid w:val="009A430D"/>
    <w:rsid w:val="009A50E6"/>
    <w:rsid w:val="009A6508"/>
    <w:rsid w:val="009A6F6A"/>
    <w:rsid w:val="009A7495"/>
    <w:rsid w:val="009A77CB"/>
    <w:rsid w:val="009A7E2F"/>
    <w:rsid w:val="009B163D"/>
    <w:rsid w:val="009B165B"/>
    <w:rsid w:val="009B355B"/>
    <w:rsid w:val="009B3A10"/>
    <w:rsid w:val="009B487A"/>
    <w:rsid w:val="009C06E5"/>
    <w:rsid w:val="009C1322"/>
    <w:rsid w:val="009C16A8"/>
    <w:rsid w:val="009C32B5"/>
    <w:rsid w:val="009C46E7"/>
    <w:rsid w:val="009C46F3"/>
    <w:rsid w:val="009C496C"/>
    <w:rsid w:val="009C6292"/>
    <w:rsid w:val="009C6CFE"/>
    <w:rsid w:val="009C6F0A"/>
    <w:rsid w:val="009C7E9B"/>
    <w:rsid w:val="009D4102"/>
    <w:rsid w:val="009D5052"/>
    <w:rsid w:val="009D67EA"/>
    <w:rsid w:val="009D6D2A"/>
    <w:rsid w:val="009D6FEE"/>
    <w:rsid w:val="009D7A9E"/>
    <w:rsid w:val="009E0F00"/>
    <w:rsid w:val="009E1611"/>
    <w:rsid w:val="009E28DF"/>
    <w:rsid w:val="009E38AF"/>
    <w:rsid w:val="009E3E3D"/>
    <w:rsid w:val="009E3F37"/>
    <w:rsid w:val="009E4AB0"/>
    <w:rsid w:val="009E4C2E"/>
    <w:rsid w:val="009E5FB2"/>
    <w:rsid w:val="009E7F77"/>
    <w:rsid w:val="009F07CD"/>
    <w:rsid w:val="009F16C7"/>
    <w:rsid w:val="009F238A"/>
    <w:rsid w:val="009F38ED"/>
    <w:rsid w:val="009F3B85"/>
    <w:rsid w:val="009F3BA4"/>
    <w:rsid w:val="009F4326"/>
    <w:rsid w:val="009F44B9"/>
    <w:rsid w:val="009F50C8"/>
    <w:rsid w:val="009F533D"/>
    <w:rsid w:val="009F5CCB"/>
    <w:rsid w:val="009F721C"/>
    <w:rsid w:val="00A00715"/>
    <w:rsid w:val="00A00FDA"/>
    <w:rsid w:val="00A01A45"/>
    <w:rsid w:val="00A01EBD"/>
    <w:rsid w:val="00A10434"/>
    <w:rsid w:val="00A10AC8"/>
    <w:rsid w:val="00A11041"/>
    <w:rsid w:val="00A119AE"/>
    <w:rsid w:val="00A11F16"/>
    <w:rsid w:val="00A123AD"/>
    <w:rsid w:val="00A126A5"/>
    <w:rsid w:val="00A13799"/>
    <w:rsid w:val="00A13E38"/>
    <w:rsid w:val="00A14082"/>
    <w:rsid w:val="00A1440A"/>
    <w:rsid w:val="00A14841"/>
    <w:rsid w:val="00A15AB9"/>
    <w:rsid w:val="00A17F26"/>
    <w:rsid w:val="00A20527"/>
    <w:rsid w:val="00A206F3"/>
    <w:rsid w:val="00A210F0"/>
    <w:rsid w:val="00A2126D"/>
    <w:rsid w:val="00A22257"/>
    <w:rsid w:val="00A234D1"/>
    <w:rsid w:val="00A244CD"/>
    <w:rsid w:val="00A25259"/>
    <w:rsid w:val="00A254A6"/>
    <w:rsid w:val="00A25766"/>
    <w:rsid w:val="00A265EE"/>
    <w:rsid w:val="00A26E20"/>
    <w:rsid w:val="00A30B38"/>
    <w:rsid w:val="00A30EBE"/>
    <w:rsid w:val="00A31265"/>
    <w:rsid w:val="00A31E8B"/>
    <w:rsid w:val="00A3296B"/>
    <w:rsid w:val="00A3301E"/>
    <w:rsid w:val="00A3351C"/>
    <w:rsid w:val="00A33C61"/>
    <w:rsid w:val="00A34686"/>
    <w:rsid w:val="00A34D06"/>
    <w:rsid w:val="00A3516D"/>
    <w:rsid w:val="00A35484"/>
    <w:rsid w:val="00A360A3"/>
    <w:rsid w:val="00A41E93"/>
    <w:rsid w:val="00A41F88"/>
    <w:rsid w:val="00A42C87"/>
    <w:rsid w:val="00A45693"/>
    <w:rsid w:val="00A47255"/>
    <w:rsid w:val="00A50B51"/>
    <w:rsid w:val="00A51861"/>
    <w:rsid w:val="00A52074"/>
    <w:rsid w:val="00A52B8F"/>
    <w:rsid w:val="00A53821"/>
    <w:rsid w:val="00A54536"/>
    <w:rsid w:val="00A54EE0"/>
    <w:rsid w:val="00A54F54"/>
    <w:rsid w:val="00A54FE1"/>
    <w:rsid w:val="00A55C47"/>
    <w:rsid w:val="00A55CD6"/>
    <w:rsid w:val="00A55D7E"/>
    <w:rsid w:val="00A61D97"/>
    <w:rsid w:val="00A62137"/>
    <w:rsid w:val="00A62972"/>
    <w:rsid w:val="00A635DB"/>
    <w:rsid w:val="00A64439"/>
    <w:rsid w:val="00A65982"/>
    <w:rsid w:val="00A667F2"/>
    <w:rsid w:val="00A66D87"/>
    <w:rsid w:val="00A67460"/>
    <w:rsid w:val="00A67698"/>
    <w:rsid w:val="00A703BA"/>
    <w:rsid w:val="00A70746"/>
    <w:rsid w:val="00A70952"/>
    <w:rsid w:val="00A70DD9"/>
    <w:rsid w:val="00A71415"/>
    <w:rsid w:val="00A72215"/>
    <w:rsid w:val="00A72C19"/>
    <w:rsid w:val="00A73910"/>
    <w:rsid w:val="00A74B5C"/>
    <w:rsid w:val="00A75C5B"/>
    <w:rsid w:val="00A76E7C"/>
    <w:rsid w:val="00A77336"/>
    <w:rsid w:val="00A7786A"/>
    <w:rsid w:val="00A779E8"/>
    <w:rsid w:val="00A77EB2"/>
    <w:rsid w:val="00A82312"/>
    <w:rsid w:val="00A82856"/>
    <w:rsid w:val="00A8696F"/>
    <w:rsid w:val="00A900E0"/>
    <w:rsid w:val="00A90545"/>
    <w:rsid w:val="00A91121"/>
    <w:rsid w:val="00A91E7C"/>
    <w:rsid w:val="00A92143"/>
    <w:rsid w:val="00A9311E"/>
    <w:rsid w:val="00A93441"/>
    <w:rsid w:val="00A937D0"/>
    <w:rsid w:val="00A93A35"/>
    <w:rsid w:val="00A93D17"/>
    <w:rsid w:val="00A9667F"/>
    <w:rsid w:val="00A96A6E"/>
    <w:rsid w:val="00A971C8"/>
    <w:rsid w:val="00A97619"/>
    <w:rsid w:val="00A97F1B"/>
    <w:rsid w:val="00AA0732"/>
    <w:rsid w:val="00AA0A58"/>
    <w:rsid w:val="00AA0D8A"/>
    <w:rsid w:val="00AA1961"/>
    <w:rsid w:val="00AA19AD"/>
    <w:rsid w:val="00AA2A36"/>
    <w:rsid w:val="00AA3768"/>
    <w:rsid w:val="00AA3B4C"/>
    <w:rsid w:val="00AA4196"/>
    <w:rsid w:val="00AA473D"/>
    <w:rsid w:val="00AA4BE2"/>
    <w:rsid w:val="00AA6668"/>
    <w:rsid w:val="00AA6EF9"/>
    <w:rsid w:val="00AB2071"/>
    <w:rsid w:val="00AB2946"/>
    <w:rsid w:val="00AB2E09"/>
    <w:rsid w:val="00AB3CAC"/>
    <w:rsid w:val="00AB4111"/>
    <w:rsid w:val="00AB4402"/>
    <w:rsid w:val="00AB48F8"/>
    <w:rsid w:val="00AB4B07"/>
    <w:rsid w:val="00AB4C92"/>
    <w:rsid w:val="00AB5630"/>
    <w:rsid w:val="00AB79F3"/>
    <w:rsid w:val="00AB7CF4"/>
    <w:rsid w:val="00AB7FB2"/>
    <w:rsid w:val="00AC1AF4"/>
    <w:rsid w:val="00AC2CAB"/>
    <w:rsid w:val="00AC3353"/>
    <w:rsid w:val="00AC419F"/>
    <w:rsid w:val="00AC5850"/>
    <w:rsid w:val="00AC6946"/>
    <w:rsid w:val="00AC762D"/>
    <w:rsid w:val="00AC7BFA"/>
    <w:rsid w:val="00AD1360"/>
    <w:rsid w:val="00AD1F0D"/>
    <w:rsid w:val="00AD2C79"/>
    <w:rsid w:val="00AD4209"/>
    <w:rsid w:val="00AD4DE2"/>
    <w:rsid w:val="00AD5558"/>
    <w:rsid w:val="00AD6395"/>
    <w:rsid w:val="00AE0A74"/>
    <w:rsid w:val="00AE1056"/>
    <w:rsid w:val="00AE2B2B"/>
    <w:rsid w:val="00AE2E1C"/>
    <w:rsid w:val="00AE31EB"/>
    <w:rsid w:val="00AE3288"/>
    <w:rsid w:val="00AE4AB0"/>
    <w:rsid w:val="00AE55E3"/>
    <w:rsid w:val="00AE6DAA"/>
    <w:rsid w:val="00AE6E94"/>
    <w:rsid w:val="00AE7AE2"/>
    <w:rsid w:val="00AE7BCD"/>
    <w:rsid w:val="00AF00FA"/>
    <w:rsid w:val="00AF07F2"/>
    <w:rsid w:val="00AF18FC"/>
    <w:rsid w:val="00AF1DC3"/>
    <w:rsid w:val="00AF23C6"/>
    <w:rsid w:val="00AF34B3"/>
    <w:rsid w:val="00AF6FCF"/>
    <w:rsid w:val="00AF7411"/>
    <w:rsid w:val="00B005EC"/>
    <w:rsid w:val="00B02291"/>
    <w:rsid w:val="00B02325"/>
    <w:rsid w:val="00B02E89"/>
    <w:rsid w:val="00B044B2"/>
    <w:rsid w:val="00B0482E"/>
    <w:rsid w:val="00B04A9A"/>
    <w:rsid w:val="00B05CFF"/>
    <w:rsid w:val="00B06EFC"/>
    <w:rsid w:val="00B06FAA"/>
    <w:rsid w:val="00B077C6"/>
    <w:rsid w:val="00B07E07"/>
    <w:rsid w:val="00B10BF7"/>
    <w:rsid w:val="00B114C3"/>
    <w:rsid w:val="00B11F35"/>
    <w:rsid w:val="00B133D4"/>
    <w:rsid w:val="00B14F98"/>
    <w:rsid w:val="00B1530E"/>
    <w:rsid w:val="00B15FD6"/>
    <w:rsid w:val="00B164F0"/>
    <w:rsid w:val="00B16659"/>
    <w:rsid w:val="00B1759C"/>
    <w:rsid w:val="00B178D4"/>
    <w:rsid w:val="00B1791C"/>
    <w:rsid w:val="00B179EB"/>
    <w:rsid w:val="00B17C17"/>
    <w:rsid w:val="00B17ED6"/>
    <w:rsid w:val="00B2082F"/>
    <w:rsid w:val="00B218EC"/>
    <w:rsid w:val="00B248E8"/>
    <w:rsid w:val="00B249D4"/>
    <w:rsid w:val="00B24A01"/>
    <w:rsid w:val="00B25041"/>
    <w:rsid w:val="00B25C13"/>
    <w:rsid w:val="00B30C8C"/>
    <w:rsid w:val="00B315AC"/>
    <w:rsid w:val="00B3194B"/>
    <w:rsid w:val="00B320AB"/>
    <w:rsid w:val="00B35392"/>
    <w:rsid w:val="00B36D83"/>
    <w:rsid w:val="00B37689"/>
    <w:rsid w:val="00B37706"/>
    <w:rsid w:val="00B378C0"/>
    <w:rsid w:val="00B4035E"/>
    <w:rsid w:val="00B407BF"/>
    <w:rsid w:val="00B41312"/>
    <w:rsid w:val="00B41433"/>
    <w:rsid w:val="00B41E55"/>
    <w:rsid w:val="00B42694"/>
    <w:rsid w:val="00B442D2"/>
    <w:rsid w:val="00B44DAF"/>
    <w:rsid w:val="00B46EFE"/>
    <w:rsid w:val="00B5113C"/>
    <w:rsid w:val="00B5450E"/>
    <w:rsid w:val="00B5563C"/>
    <w:rsid w:val="00B55FBE"/>
    <w:rsid w:val="00B565B3"/>
    <w:rsid w:val="00B56A99"/>
    <w:rsid w:val="00B5700C"/>
    <w:rsid w:val="00B570C4"/>
    <w:rsid w:val="00B571DF"/>
    <w:rsid w:val="00B6386B"/>
    <w:rsid w:val="00B640B7"/>
    <w:rsid w:val="00B64C8A"/>
    <w:rsid w:val="00B64F0D"/>
    <w:rsid w:val="00B65E94"/>
    <w:rsid w:val="00B675F0"/>
    <w:rsid w:val="00B67710"/>
    <w:rsid w:val="00B67ACD"/>
    <w:rsid w:val="00B712FA"/>
    <w:rsid w:val="00B717DB"/>
    <w:rsid w:val="00B71BDD"/>
    <w:rsid w:val="00B71C93"/>
    <w:rsid w:val="00B72737"/>
    <w:rsid w:val="00B72C05"/>
    <w:rsid w:val="00B73BB0"/>
    <w:rsid w:val="00B749D3"/>
    <w:rsid w:val="00B75F20"/>
    <w:rsid w:val="00B77CAC"/>
    <w:rsid w:val="00B81573"/>
    <w:rsid w:val="00B81831"/>
    <w:rsid w:val="00B82498"/>
    <w:rsid w:val="00B833BB"/>
    <w:rsid w:val="00B83B88"/>
    <w:rsid w:val="00B84D14"/>
    <w:rsid w:val="00B851D2"/>
    <w:rsid w:val="00B85546"/>
    <w:rsid w:val="00B858BD"/>
    <w:rsid w:val="00B859FA"/>
    <w:rsid w:val="00B867BC"/>
    <w:rsid w:val="00B87332"/>
    <w:rsid w:val="00B87A4D"/>
    <w:rsid w:val="00B87C16"/>
    <w:rsid w:val="00B87E21"/>
    <w:rsid w:val="00B90D3D"/>
    <w:rsid w:val="00B928B6"/>
    <w:rsid w:val="00B934AC"/>
    <w:rsid w:val="00B93B15"/>
    <w:rsid w:val="00B94902"/>
    <w:rsid w:val="00B94B7F"/>
    <w:rsid w:val="00B955E9"/>
    <w:rsid w:val="00B959A6"/>
    <w:rsid w:val="00B965E0"/>
    <w:rsid w:val="00B967BD"/>
    <w:rsid w:val="00B96B80"/>
    <w:rsid w:val="00B96EC7"/>
    <w:rsid w:val="00B9781C"/>
    <w:rsid w:val="00BA1AC4"/>
    <w:rsid w:val="00BA1FEE"/>
    <w:rsid w:val="00BA2168"/>
    <w:rsid w:val="00BA27AE"/>
    <w:rsid w:val="00BA3474"/>
    <w:rsid w:val="00BA5693"/>
    <w:rsid w:val="00BA6137"/>
    <w:rsid w:val="00BA6509"/>
    <w:rsid w:val="00BA7A40"/>
    <w:rsid w:val="00BB0CF6"/>
    <w:rsid w:val="00BB1442"/>
    <w:rsid w:val="00BB19A3"/>
    <w:rsid w:val="00BB2250"/>
    <w:rsid w:val="00BB2872"/>
    <w:rsid w:val="00BB28E1"/>
    <w:rsid w:val="00BB36B6"/>
    <w:rsid w:val="00BB462D"/>
    <w:rsid w:val="00BB4A2B"/>
    <w:rsid w:val="00BB5B58"/>
    <w:rsid w:val="00BB6205"/>
    <w:rsid w:val="00BB6844"/>
    <w:rsid w:val="00BB6CFA"/>
    <w:rsid w:val="00BC0D4B"/>
    <w:rsid w:val="00BC0F74"/>
    <w:rsid w:val="00BC2514"/>
    <w:rsid w:val="00BC3E96"/>
    <w:rsid w:val="00BC4D1B"/>
    <w:rsid w:val="00BC582E"/>
    <w:rsid w:val="00BC6124"/>
    <w:rsid w:val="00BC615C"/>
    <w:rsid w:val="00BC6477"/>
    <w:rsid w:val="00BD0263"/>
    <w:rsid w:val="00BD056E"/>
    <w:rsid w:val="00BD0A7E"/>
    <w:rsid w:val="00BD1124"/>
    <w:rsid w:val="00BD1299"/>
    <w:rsid w:val="00BD190D"/>
    <w:rsid w:val="00BD2E0E"/>
    <w:rsid w:val="00BD3C1B"/>
    <w:rsid w:val="00BD443B"/>
    <w:rsid w:val="00BD73AA"/>
    <w:rsid w:val="00BD7A49"/>
    <w:rsid w:val="00BD7BFF"/>
    <w:rsid w:val="00BD7E5D"/>
    <w:rsid w:val="00BE01E4"/>
    <w:rsid w:val="00BE0B76"/>
    <w:rsid w:val="00BE158C"/>
    <w:rsid w:val="00BE1A41"/>
    <w:rsid w:val="00BE262C"/>
    <w:rsid w:val="00BE3657"/>
    <w:rsid w:val="00BE37E3"/>
    <w:rsid w:val="00BE392E"/>
    <w:rsid w:val="00BE4241"/>
    <w:rsid w:val="00BE49D8"/>
    <w:rsid w:val="00BE4CEC"/>
    <w:rsid w:val="00BE63F2"/>
    <w:rsid w:val="00BE6673"/>
    <w:rsid w:val="00BF045E"/>
    <w:rsid w:val="00BF0620"/>
    <w:rsid w:val="00BF09E2"/>
    <w:rsid w:val="00BF1603"/>
    <w:rsid w:val="00BF1D92"/>
    <w:rsid w:val="00BF20E3"/>
    <w:rsid w:val="00BF2F8E"/>
    <w:rsid w:val="00BF3128"/>
    <w:rsid w:val="00BF4B31"/>
    <w:rsid w:val="00BF5AB1"/>
    <w:rsid w:val="00BF679E"/>
    <w:rsid w:val="00BF7FF4"/>
    <w:rsid w:val="00C00766"/>
    <w:rsid w:val="00C00F57"/>
    <w:rsid w:val="00C02769"/>
    <w:rsid w:val="00C027B4"/>
    <w:rsid w:val="00C03BC5"/>
    <w:rsid w:val="00C04F34"/>
    <w:rsid w:val="00C05A96"/>
    <w:rsid w:val="00C06471"/>
    <w:rsid w:val="00C07DD3"/>
    <w:rsid w:val="00C07E06"/>
    <w:rsid w:val="00C1179C"/>
    <w:rsid w:val="00C12E65"/>
    <w:rsid w:val="00C13109"/>
    <w:rsid w:val="00C14D9A"/>
    <w:rsid w:val="00C161CC"/>
    <w:rsid w:val="00C16434"/>
    <w:rsid w:val="00C16B24"/>
    <w:rsid w:val="00C16C8D"/>
    <w:rsid w:val="00C16E2D"/>
    <w:rsid w:val="00C20A30"/>
    <w:rsid w:val="00C312E2"/>
    <w:rsid w:val="00C334DE"/>
    <w:rsid w:val="00C33F49"/>
    <w:rsid w:val="00C35B5C"/>
    <w:rsid w:val="00C36206"/>
    <w:rsid w:val="00C3630B"/>
    <w:rsid w:val="00C36D44"/>
    <w:rsid w:val="00C430B6"/>
    <w:rsid w:val="00C43433"/>
    <w:rsid w:val="00C444AA"/>
    <w:rsid w:val="00C445B5"/>
    <w:rsid w:val="00C4465E"/>
    <w:rsid w:val="00C45300"/>
    <w:rsid w:val="00C45679"/>
    <w:rsid w:val="00C45AFA"/>
    <w:rsid w:val="00C47450"/>
    <w:rsid w:val="00C47D2C"/>
    <w:rsid w:val="00C50850"/>
    <w:rsid w:val="00C50F08"/>
    <w:rsid w:val="00C5195A"/>
    <w:rsid w:val="00C51A70"/>
    <w:rsid w:val="00C51CDD"/>
    <w:rsid w:val="00C53A98"/>
    <w:rsid w:val="00C546A4"/>
    <w:rsid w:val="00C548B7"/>
    <w:rsid w:val="00C555D6"/>
    <w:rsid w:val="00C55A5F"/>
    <w:rsid w:val="00C55B64"/>
    <w:rsid w:val="00C57499"/>
    <w:rsid w:val="00C5769D"/>
    <w:rsid w:val="00C57E89"/>
    <w:rsid w:val="00C607D5"/>
    <w:rsid w:val="00C612B0"/>
    <w:rsid w:val="00C65901"/>
    <w:rsid w:val="00C6644E"/>
    <w:rsid w:val="00C676C9"/>
    <w:rsid w:val="00C70743"/>
    <w:rsid w:val="00C71125"/>
    <w:rsid w:val="00C71DBE"/>
    <w:rsid w:val="00C71E27"/>
    <w:rsid w:val="00C71F01"/>
    <w:rsid w:val="00C7356A"/>
    <w:rsid w:val="00C74958"/>
    <w:rsid w:val="00C74AE2"/>
    <w:rsid w:val="00C75BF2"/>
    <w:rsid w:val="00C806E1"/>
    <w:rsid w:val="00C806EC"/>
    <w:rsid w:val="00C808F6"/>
    <w:rsid w:val="00C80A1F"/>
    <w:rsid w:val="00C8287B"/>
    <w:rsid w:val="00C82984"/>
    <w:rsid w:val="00C83536"/>
    <w:rsid w:val="00C838EC"/>
    <w:rsid w:val="00C83D4E"/>
    <w:rsid w:val="00C8469B"/>
    <w:rsid w:val="00C84A88"/>
    <w:rsid w:val="00C84CED"/>
    <w:rsid w:val="00C85A7F"/>
    <w:rsid w:val="00C85CCA"/>
    <w:rsid w:val="00C85D42"/>
    <w:rsid w:val="00C864A8"/>
    <w:rsid w:val="00C87343"/>
    <w:rsid w:val="00C87C3C"/>
    <w:rsid w:val="00C87CA6"/>
    <w:rsid w:val="00C87F41"/>
    <w:rsid w:val="00C90064"/>
    <w:rsid w:val="00C90372"/>
    <w:rsid w:val="00C91618"/>
    <w:rsid w:val="00C91A55"/>
    <w:rsid w:val="00C91CCE"/>
    <w:rsid w:val="00C91F56"/>
    <w:rsid w:val="00C92F1E"/>
    <w:rsid w:val="00C92FB9"/>
    <w:rsid w:val="00C933B2"/>
    <w:rsid w:val="00C93686"/>
    <w:rsid w:val="00C93909"/>
    <w:rsid w:val="00C94FFB"/>
    <w:rsid w:val="00C96A3F"/>
    <w:rsid w:val="00C96D82"/>
    <w:rsid w:val="00C96F03"/>
    <w:rsid w:val="00C9726D"/>
    <w:rsid w:val="00C97511"/>
    <w:rsid w:val="00CA0717"/>
    <w:rsid w:val="00CA2672"/>
    <w:rsid w:val="00CA4414"/>
    <w:rsid w:val="00CA53E3"/>
    <w:rsid w:val="00CA5DBC"/>
    <w:rsid w:val="00CA5E12"/>
    <w:rsid w:val="00CA62C6"/>
    <w:rsid w:val="00CA7117"/>
    <w:rsid w:val="00CA7E21"/>
    <w:rsid w:val="00CA7E53"/>
    <w:rsid w:val="00CB0D70"/>
    <w:rsid w:val="00CB197D"/>
    <w:rsid w:val="00CB25E8"/>
    <w:rsid w:val="00CB2646"/>
    <w:rsid w:val="00CB2918"/>
    <w:rsid w:val="00CB4092"/>
    <w:rsid w:val="00CB41C0"/>
    <w:rsid w:val="00CB4200"/>
    <w:rsid w:val="00CC33B8"/>
    <w:rsid w:val="00CC3515"/>
    <w:rsid w:val="00CC3D8D"/>
    <w:rsid w:val="00CC5637"/>
    <w:rsid w:val="00CC5FF2"/>
    <w:rsid w:val="00CC6298"/>
    <w:rsid w:val="00CC678E"/>
    <w:rsid w:val="00CD02D8"/>
    <w:rsid w:val="00CD06B3"/>
    <w:rsid w:val="00CD13CE"/>
    <w:rsid w:val="00CD2249"/>
    <w:rsid w:val="00CD263C"/>
    <w:rsid w:val="00CD292A"/>
    <w:rsid w:val="00CD3B5C"/>
    <w:rsid w:val="00CD3E91"/>
    <w:rsid w:val="00CD432D"/>
    <w:rsid w:val="00CD43A1"/>
    <w:rsid w:val="00CD5509"/>
    <w:rsid w:val="00CD6F45"/>
    <w:rsid w:val="00CE218D"/>
    <w:rsid w:val="00CE262B"/>
    <w:rsid w:val="00CE2ABC"/>
    <w:rsid w:val="00CE2EF2"/>
    <w:rsid w:val="00CE3A99"/>
    <w:rsid w:val="00CE3B3C"/>
    <w:rsid w:val="00CE43F1"/>
    <w:rsid w:val="00CE4ED9"/>
    <w:rsid w:val="00CE5EDF"/>
    <w:rsid w:val="00CE6175"/>
    <w:rsid w:val="00CE648E"/>
    <w:rsid w:val="00CE6E43"/>
    <w:rsid w:val="00CE6FE3"/>
    <w:rsid w:val="00CE7D59"/>
    <w:rsid w:val="00CF22B4"/>
    <w:rsid w:val="00CF241C"/>
    <w:rsid w:val="00CF3779"/>
    <w:rsid w:val="00CF3FEF"/>
    <w:rsid w:val="00CF40F7"/>
    <w:rsid w:val="00CF4CF3"/>
    <w:rsid w:val="00CF6445"/>
    <w:rsid w:val="00CF7748"/>
    <w:rsid w:val="00D01369"/>
    <w:rsid w:val="00D02DBC"/>
    <w:rsid w:val="00D03155"/>
    <w:rsid w:val="00D033D1"/>
    <w:rsid w:val="00D03D28"/>
    <w:rsid w:val="00D04339"/>
    <w:rsid w:val="00D04A71"/>
    <w:rsid w:val="00D05B8C"/>
    <w:rsid w:val="00D10262"/>
    <w:rsid w:val="00D1040A"/>
    <w:rsid w:val="00D113A5"/>
    <w:rsid w:val="00D11E7A"/>
    <w:rsid w:val="00D1278F"/>
    <w:rsid w:val="00D14A00"/>
    <w:rsid w:val="00D159B3"/>
    <w:rsid w:val="00D164EA"/>
    <w:rsid w:val="00D21490"/>
    <w:rsid w:val="00D21A2E"/>
    <w:rsid w:val="00D2261B"/>
    <w:rsid w:val="00D22B55"/>
    <w:rsid w:val="00D23693"/>
    <w:rsid w:val="00D24192"/>
    <w:rsid w:val="00D257D6"/>
    <w:rsid w:val="00D25EDE"/>
    <w:rsid w:val="00D30393"/>
    <w:rsid w:val="00D30F44"/>
    <w:rsid w:val="00D31326"/>
    <w:rsid w:val="00D32405"/>
    <w:rsid w:val="00D324C4"/>
    <w:rsid w:val="00D3292C"/>
    <w:rsid w:val="00D33965"/>
    <w:rsid w:val="00D355FE"/>
    <w:rsid w:val="00D35991"/>
    <w:rsid w:val="00D35AB0"/>
    <w:rsid w:val="00D3624D"/>
    <w:rsid w:val="00D36315"/>
    <w:rsid w:val="00D363B5"/>
    <w:rsid w:val="00D36A55"/>
    <w:rsid w:val="00D377C0"/>
    <w:rsid w:val="00D37A32"/>
    <w:rsid w:val="00D40035"/>
    <w:rsid w:val="00D40219"/>
    <w:rsid w:val="00D402A8"/>
    <w:rsid w:val="00D40F65"/>
    <w:rsid w:val="00D42370"/>
    <w:rsid w:val="00D4252F"/>
    <w:rsid w:val="00D438BC"/>
    <w:rsid w:val="00D43AFF"/>
    <w:rsid w:val="00D45CC4"/>
    <w:rsid w:val="00D45FCB"/>
    <w:rsid w:val="00D4629D"/>
    <w:rsid w:val="00D4712F"/>
    <w:rsid w:val="00D5031A"/>
    <w:rsid w:val="00D51637"/>
    <w:rsid w:val="00D526AA"/>
    <w:rsid w:val="00D52E61"/>
    <w:rsid w:val="00D54E95"/>
    <w:rsid w:val="00D5619A"/>
    <w:rsid w:val="00D56DF0"/>
    <w:rsid w:val="00D617CE"/>
    <w:rsid w:val="00D62350"/>
    <w:rsid w:val="00D62498"/>
    <w:rsid w:val="00D632B2"/>
    <w:rsid w:val="00D63489"/>
    <w:rsid w:val="00D63C11"/>
    <w:rsid w:val="00D6498A"/>
    <w:rsid w:val="00D64A9D"/>
    <w:rsid w:val="00D651ED"/>
    <w:rsid w:val="00D6553D"/>
    <w:rsid w:val="00D65B83"/>
    <w:rsid w:val="00D67AC2"/>
    <w:rsid w:val="00D70A46"/>
    <w:rsid w:val="00D71B26"/>
    <w:rsid w:val="00D7249B"/>
    <w:rsid w:val="00D72800"/>
    <w:rsid w:val="00D72ED8"/>
    <w:rsid w:val="00D73890"/>
    <w:rsid w:val="00D74136"/>
    <w:rsid w:val="00D7777D"/>
    <w:rsid w:val="00D77BE2"/>
    <w:rsid w:val="00D802B6"/>
    <w:rsid w:val="00D82A4C"/>
    <w:rsid w:val="00D82B86"/>
    <w:rsid w:val="00D84C2C"/>
    <w:rsid w:val="00D85097"/>
    <w:rsid w:val="00D86BF7"/>
    <w:rsid w:val="00D87CAE"/>
    <w:rsid w:val="00D92101"/>
    <w:rsid w:val="00D9302B"/>
    <w:rsid w:val="00D931B0"/>
    <w:rsid w:val="00D937C8"/>
    <w:rsid w:val="00D94AA7"/>
    <w:rsid w:val="00D9502B"/>
    <w:rsid w:val="00D950FD"/>
    <w:rsid w:val="00D96B55"/>
    <w:rsid w:val="00D96D34"/>
    <w:rsid w:val="00D97711"/>
    <w:rsid w:val="00D97B36"/>
    <w:rsid w:val="00DA0BF1"/>
    <w:rsid w:val="00DA0D4A"/>
    <w:rsid w:val="00DA0D8B"/>
    <w:rsid w:val="00DA0EBC"/>
    <w:rsid w:val="00DA1445"/>
    <w:rsid w:val="00DA2094"/>
    <w:rsid w:val="00DA2B84"/>
    <w:rsid w:val="00DA6E34"/>
    <w:rsid w:val="00DA72E7"/>
    <w:rsid w:val="00DB0239"/>
    <w:rsid w:val="00DB0950"/>
    <w:rsid w:val="00DB10E7"/>
    <w:rsid w:val="00DB10FD"/>
    <w:rsid w:val="00DB1A0C"/>
    <w:rsid w:val="00DB2FCC"/>
    <w:rsid w:val="00DB33C1"/>
    <w:rsid w:val="00DB37E8"/>
    <w:rsid w:val="00DB3806"/>
    <w:rsid w:val="00DB3E15"/>
    <w:rsid w:val="00DB3F8E"/>
    <w:rsid w:val="00DB4815"/>
    <w:rsid w:val="00DB4AC9"/>
    <w:rsid w:val="00DB5335"/>
    <w:rsid w:val="00DB54E2"/>
    <w:rsid w:val="00DB5ACB"/>
    <w:rsid w:val="00DB5E95"/>
    <w:rsid w:val="00DB6DF5"/>
    <w:rsid w:val="00DC0A99"/>
    <w:rsid w:val="00DC19C0"/>
    <w:rsid w:val="00DC29D0"/>
    <w:rsid w:val="00DC35C7"/>
    <w:rsid w:val="00DC4224"/>
    <w:rsid w:val="00DC533A"/>
    <w:rsid w:val="00DC53A8"/>
    <w:rsid w:val="00DC61A0"/>
    <w:rsid w:val="00DC729B"/>
    <w:rsid w:val="00DD0AEF"/>
    <w:rsid w:val="00DD150C"/>
    <w:rsid w:val="00DD2B60"/>
    <w:rsid w:val="00DD2C3C"/>
    <w:rsid w:val="00DD2CEA"/>
    <w:rsid w:val="00DD401B"/>
    <w:rsid w:val="00DD4186"/>
    <w:rsid w:val="00DD4436"/>
    <w:rsid w:val="00DD48B9"/>
    <w:rsid w:val="00DD5971"/>
    <w:rsid w:val="00DD5D68"/>
    <w:rsid w:val="00DD72C6"/>
    <w:rsid w:val="00DE0CB6"/>
    <w:rsid w:val="00DE0D2E"/>
    <w:rsid w:val="00DE17EF"/>
    <w:rsid w:val="00DE22E4"/>
    <w:rsid w:val="00DE2866"/>
    <w:rsid w:val="00DE2E48"/>
    <w:rsid w:val="00DE36AA"/>
    <w:rsid w:val="00DE4070"/>
    <w:rsid w:val="00DE40AC"/>
    <w:rsid w:val="00DE4DE6"/>
    <w:rsid w:val="00DE5836"/>
    <w:rsid w:val="00DE5F2A"/>
    <w:rsid w:val="00DE699C"/>
    <w:rsid w:val="00DE6AA8"/>
    <w:rsid w:val="00DE6E5B"/>
    <w:rsid w:val="00DE769C"/>
    <w:rsid w:val="00DE7BF4"/>
    <w:rsid w:val="00DF081D"/>
    <w:rsid w:val="00DF0AC2"/>
    <w:rsid w:val="00DF1340"/>
    <w:rsid w:val="00DF1470"/>
    <w:rsid w:val="00DF315E"/>
    <w:rsid w:val="00DF32E2"/>
    <w:rsid w:val="00DF3B3E"/>
    <w:rsid w:val="00DF5F99"/>
    <w:rsid w:val="00DF5FF6"/>
    <w:rsid w:val="00DF6471"/>
    <w:rsid w:val="00DF7D9A"/>
    <w:rsid w:val="00E007BA"/>
    <w:rsid w:val="00E00EDA"/>
    <w:rsid w:val="00E02420"/>
    <w:rsid w:val="00E027B6"/>
    <w:rsid w:val="00E03926"/>
    <w:rsid w:val="00E03DC0"/>
    <w:rsid w:val="00E045C6"/>
    <w:rsid w:val="00E0535A"/>
    <w:rsid w:val="00E053F6"/>
    <w:rsid w:val="00E06BDE"/>
    <w:rsid w:val="00E06CF7"/>
    <w:rsid w:val="00E12051"/>
    <w:rsid w:val="00E12285"/>
    <w:rsid w:val="00E12B94"/>
    <w:rsid w:val="00E13243"/>
    <w:rsid w:val="00E141AD"/>
    <w:rsid w:val="00E151E9"/>
    <w:rsid w:val="00E165EE"/>
    <w:rsid w:val="00E16A5B"/>
    <w:rsid w:val="00E172CC"/>
    <w:rsid w:val="00E17358"/>
    <w:rsid w:val="00E17760"/>
    <w:rsid w:val="00E207EE"/>
    <w:rsid w:val="00E2083B"/>
    <w:rsid w:val="00E22B94"/>
    <w:rsid w:val="00E234D2"/>
    <w:rsid w:val="00E2350D"/>
    <w:rsid w:val="00E24B13"/>
    <w:rsid w:val="00E2662D"/>
    <w:rsid w:val="00E26860"/>
    <w:rsid w:val="00E27106"/>
    <w:rsid w:val="00E27193"/>
    <w:rsid w:val="00E27B8F"/>
    <w:rsid w:val="00E27E86"/>
    <w:rsid w:val="00E3016C"/>
    <w:rsid w:val="00E317F1"/>
    <w:rsid w:val="00E31A35"/>
    <w:rsid w:val="00E31FA7"/>
    <w:rsid w:val="00E33476"/>
    <w:rsid w:val="00E3387E"/>
    <w:rsid w:val="00E33C51"/>
    <w:rsid w:val="00E34594"/>
    <w:rsid w:val="00E34774"/>
    <w:rsid w:val="00E35484"/>
    <w:rsid w:val="00E36571"/>
    <w:rsid w:val="00E36803"/>
    <w:rsid w:val="00E36850"/>
    <w:rsid w:val="00E37653"/>
    <w:rsid w:val="00E377D7"/>
    <w:rsid w:val="00E37C36"/>
    <w:rsid w:val="00E415A7"/>
    <w:rsid w:val="00E42077"/>
    <w:rsid w:val="00E425EF"/>
    <w:rsid w:val="00E42DE8"/>
    <w:rsid w:val="00E4320E"/>
    <w:rsid w:val="00E432A1"/>
    <w:rsid w:val="00E441DE"/>
    <w:rsid w:val="00E4420B"/>
    <w:rsid w:val="00E46CA3"/>
    <w:rsid w:val="00E5081F"/>
    <w:rsid w:val="00E50F54"/>
    <w:rsid w:val="00E51584"/>
    <w:rsid w:val="00E51592"/>
    <w:rsid w:val="00E5164C"/>
    <w:rsid w:val="00E519E3"/>
    <w:rsid w:val="00E51CA2"/>
    <w:rsid w:val="00E529B9"/>
    <w:rsid w:val="00E52B3B"/>
    <w:rsid w:val="00E5346E"/>
    <w:rsid w:val="00E54688"/>
    <w:rsid w:val="00E54FB4"/>
    <w:rsid w:val="00E55E81"/>
    <w:rsid w:val="00E55EA7"/>
    <w:rsid w:val="00E60F41"/>
    <w:rsid w:val="00E613BC"/>
    <w:rsid w:val="00E6160F"/>
    <w:rsid w:val="00E618FA"/>
    <w:rsid w:val="00E61D21"/>
    <w:rsid w:val="00E621D7"/>
    <w:rsid w:val="00E62D73"/>
    <w:rsid w:val="00E63042"/>
    <w:rsid w:val="00E63CBD"/>
    <w:rsid w:val="00E6420F"/>
    <w:rsid w:val="00E653E9"/>
    <w:rsid w:val="00E6568E"/>
    <w:rsid w:val="00E65722"/>
    <w:rsid w:val="00E65B6D"/>
    <w:rsid w:val="00E66396"/>
    <w:rsid w:val="00E6699F"/>
    <w:rsid w:val="00E66E9C"/>
    <w:rsid w:val="00E67863"/>
    <w:rsid w:val="00E67AC7"/>
    <w:rsid w:val="00E7021B"/>
    <w:rsid w:val="00E7088B"/>
    <w:rsid w:val="00E70962"/>
    <w:rsid w:val="00E72FF7"/>
    <w:rsid w:val="00E7401F"/>
    <w:rsid w:val="00E741F7"/>
    <w:rsid w:val="00E74AE4"/>
    <w:rsid w:val="00E74D7F"/>
    <w:rsid w:val="00E75D9D"/>
    <w:rsid w:val="00E76122"/>
    <w:rsid w:val="00E77848"/>
    <w:rsid w:val="00E818A1"/>
    <w:rsid w:val="00E8317B"/>
    <w:rsid w:val="00E85451"/>
    <w:rsid w:val="00E85E4E"/>
    <w:rsid w:val="00E85FB2"/>
    <w:rsid w:val="00E869C7"/>
    <w:rsid w:val="00E910F1"/>
    <w:rsid w:val="00E918DA"/>
    <w:rsid w:val="00E9264F"/>
    <w:rsid w:val="00E9273D"/>
    <w:rsid w:val="00E93C2E"/>
    <w:rsid w:val="00E94588"/>
    <w:rsid w:val="00E94FD4"/>
    <w:rsid w:val="00E95E46"/>
    <w:rsid w:val="00E96318"/>
    <w:rsid w:val="00EA04A7"/>
    <w:rsid w:val="00EA0867"/>
    <w:rsid w:val="00EA1376"/>
    <w:rsid w:val="00EA13B4"/>
    <w:rsid w:val="00EA1F54"/>
    <w:rsid w:val="00EA4571"/>
    <w:rsid w:val="00EA629F"/>
    <w:rsid w:val="00EA634E"/>
    <w:rsid w:val="00EA6C9C"/>
    <w:rsid w:val="00EA6D04"/>
    <w:rsid w:val="00EA74A2"/>
    <w:rsid w:val="00EA75D5"/>
    <w:rsid w:val="00EA7F0D"/>
    <w:rsid w:val="00EB2329"/>
    <w:rsid w:val="00EB2B05"/>
    <w:rsid w:val="00EB2D4F"/>
    <w:rsid w:val="00EB46E9"/>
    <w:rsid w:val="00EB5567"/>
    <w:rsid w:val="00EB5CC1"/>
    <w:rsid w:val="00EB5CE4"/>
    <w:rsid w:val="00EB6F13"/>
    <w:rsid w:val="00EB7777"/>
    <w:rsid w:val="00EC0E2C"/>
    <w:rsid w:val="00EC159A"/>
    <w:rsid w:val="00EC1D42"/>
    <w:rsid w:val="00EC22E9"/>
    <w:rsid w:val="00EC28ED"/>
    <w:rsid w:val="00EC2A32"/>
    <w:rsid w:val="00EC476A"/>
    <w:rsid w:val="00EC4936"/>
    <w:rsid w:val="00EC4CCF"/>
    <w:rsid w:val="00EC53F4"/>
    <w:rsid w:val="00EC5411"/>
    <w:rsid w:val="00EC5D9E"/>
    <w:rsid w:val="00EC6A53"/>
    <w:rsid w:val="00EC7623"/>
    <w:rsid w:val="00ED06BC"/>
    <w:rsid w:val="00ED06F6"/>
    <w:rsid w:val="00ED1A18"/>
    <w:rsid w:val="00ED1E53"/>
    <w:rsid w:val="00ED38ED"/>
    <w:rsid w:val="00ED4236"/>
    <w:rsid w:val="00ED4AE1"/>
    <w:rsid w:val="00ED5538"/>
    <w:rsid w:val="00ED59ED"/>
    <w:rsid w:val="00ED5FA1"/>
    <w:rsid w:val="00ED6A5C"/>
    <w:rsid w:val="00ED7438"/>
    <w:rsid w:val="00EE0E2E"/>
    <w:rsid w:val="00EE1C52"/>
    <w:rsid w:val="00EE1F6F"/>
    <w:rsid w:val="00EE3BD2"/>
    <w:rsid w:val="00EE3E90"/>
    <w:rsid w:val="00EE6370"/>
    <w:rsid w:val="00EE77EA"/>
    <w:rsid w:val="00EF06F6"/>
    <w:rsid w:val="00EF0759"/>
    <w:rsid w:val="00EF0CA9"/>
    <w:rsid w:val="00EF0DEC"/>
    <w:rsid w:val="00EF103D"/>
    <w:rsid w:val="00EF2568"/>
    <w:rsid w:val="00EF281C"/>
    <w:rsid w:val="00EF315F"/>
    <w:rsid w:val="00EF6474"/>
    <w:rsid w:val="00EF72DF"/>
    <w:rsid w:val="00F009D9"/>
    <w:rsid w:val="00F00CC5"/>
    <w:rsid w:val="00F01218"/>
    <w:rsid w:val="00F0165D"/>
    <w:rsid w:val="00F016C7"/>
    <w:rsid w:val="00F01974"/>
    <w:rsid w:val="00F01E4C"/>
    <w:rsid w:val="00F04174"/>
    <w:rsid w:val="00F06951"/>
    <w:rsid w:val="00F06C07"/>
    <w:rsid w:val="00F06D3A"/>
    <w:rsid w:val="00F07B05"/>
    <w:rsid w:val="00F102F1"/>
    <w:rsid w:val="00F10EC8"/>
    <w:rsid w:val="00F11352"/>
    <w:rsid w:val="00F11677"/>
    <w:rsid w:val="00F11F81"/>
    <w:rsid w:val="00F1210D"/>
    <w:rsid w:val="00F12EE4"/>
    <w:rsid w:val="00F132B1"/>
    <w:rsid w:val="00F13C16"/>
    <w:rsid w:val="00F1428C"/>
    <w:rsid w:val="00F14B93"/>
    <w:rsid w:val="00F14F03"/>
    <w:rsid w:val="00F14FCF"/>
    <w:rsid w:val="00F151B7"/>
    <w:rsid w:val="00F15BC5"/>
    <w:rsid w:val="00F16D5C"/>
    <w:rsid w:val="00F17467"/>
    <w:rsid w:val="00F210F7"/>
    <w:rsid w:val="00F22ADF"/>
    <w:rsid w:val="00F232C1"/>
    <w:rsid w:val="00F23441"/>
    <w:rsid w:val="00F23793"/>
    <w:rsid w:val="00F2482F"/>
    <w:rsid w:val="00F24C76"/>
    <w:rsid w:val="00F24F9F"/>
    <w:rsid w:val="00F26A54"/>
    <w:rsid w:val="00F26D60"/>
    <w:rsid w:val="00F27031"/>
    <w:rsid w:val="00F2716D"/>
    <w:rsid w:val="00F27502"/>
    <w:rsid w:val="00F27D20"/>
    <w:rsid w:val="00F330CF"/>
    <w:rsid w:val="00F3398A"/>
    <w:rsid w:val="00F33BC9"/>
    <w:rsid w:val="00F33E05"/>
    <w:rsid w:val="00F3505D"/>
    <w:rsid w:val="00F353DA"/>
    <w:rsid w:val="00F35C1C"/>
    <w:rsid w:val="00F360CD"/>
    <w:rsid w:val="00F36E32"/>
    <w:rsid w:val="00F37461"/>
    <w:rsid w:val="00F40257"/>
    <w:rsid w:val="00F4131C"/>
    <w:rsid w:val="00F4157A"/>
    <w:rsid w:val="00F416CC"/>
    <w:rsid w:val="00F41D7F"/>
    <w:rsid w:val="00F42005"/>
    <w:rsid w:val="00F43C3A"/>
    <w:rsid w:val="00F447FD"/>
    <w:rsid w:val="00F44D4D"/>
    <w:rsid w:val="00F457F3"/>
    <w:rsid w:val="00F4652B"/>
    <w:rsid w:val="00F467A6"/>
    <w:rsid w:val="00F502A0"/>
    <w:rsid w:val="00F50AC7"/>
    <w:rsid w:val="00F50D25"/>
    <w:rsid w:val="00F50D34"/>
    <w:rsid w:val="00F526ED"/>
    <w:rsid w:val="00F54917"/>
    <w:rsid w:val="00F553C6"/>
    <w:rsid w:val="00F5544E"/>
    <w:rsid w:val="00F55E2D"/>
    <w:rsid w:val="00F56C10"/>
    <w:rsid w:val="00F60FF9"/>
    <w:rsid w:val="00F6219B"/>
    <w:rsid w:val="00F62BA6"/>
    <w:rsid w:val="00F63DCD"/>
    <w:rsid w:val="00F64254"/>
    <w:rsid w:val="00F6573C"/>
    <w:rsid w:val="00F658CC"/>
    <w:rsid w:val="00F65B09"/>
    <w:rsid w:val="00F65D69"/>
    <w:rsid w:val="00F667E9"/>
    <w:rsid w:val="00F668BB"/>
    <w:rsid w:val="00F709B4"/>
    <w:rsid w:val="00F70B1A"/>
    <w:rsid w:val="00F718E5"/>
    <w:rsid w:val="00F73530"/>
    <w:rsid w:val="00F73F6F"/>
    <w:rsid w:val="00F74BA4"/>
    <w:rsid w:val="00F74DCA"/>
    <w:rsid w:val="00F76B91"/>
    <w:rsid w:val="00F77BDE"/>
    <w:rsid w:val="00F8040D"/>
    <w:rsid w:val="00F80704"/>
    <w:rsid w:val="00F8076E"/>
    <w:rsid w:val="00F81B96"/>
    <w:rsid w:val="00F82E5F"/>
    <w:rsid w:val="00F84975"/>
    <w:rsid w:val="00F85061"/>
    <w:rsid w:val="00F861E4"/>
    <w:rsid w:val="00F864AC"/>
    <w:rsid w:val="00F864AF"/>
    <w:rsid w:val="00F8673A"/>
    <w:rsid w:val="00F86F09"/>
    <w:rsid w:val="00F87209"/>
    <w:rsid w:val="00F907E2"/>
    <w:rsid w:val="00F917E9"/>
    <w:rsid w:val="00F91F6B"/>
    <w:rsid w:val="00F92619"/>
    <w:rsid w:val="00F93A18"/>
    <w:rsid w:val="00F93E16"/>
    <w:rsid w:val="00F950C2"/>
    <w:rsid w:val="00F9678C"/>
    <w:rsid w:val="00FA0AB1"/>
    <w:rsid w:val="00FA0DF0"/>
    <w:rsid w:val="00FA0E23"/>
    <w:rsid w:val="00FA2891"/>
    <w:rsid w:val="00FA2BFD"/>
    <w:rsid w:val="00FA4DEC"/>
    <w:rsid w:val="00FA4F0D"/>
    <w:rsid w:val="00FA50C2"/>
    <w:rsid w:val="00FA51BB"/>
    <w:rsid w:val="00FA5A63"/>
    <w:rsid w:val="00FA632E"/>
    <w:rsid w:val="00FA67F8"/>
    <w:rsid w:val="00FA6FC8"/>
    <w:rsid w:val="00FA7A9D"/>
    <w:rsid w:val="00FB0753"/>
    <w:rsid w:val="00FB0994"/>
    <w:rsid w:val="00FB1CF3"/>
    <w:rsid w:val="00FB29B3"/>
    <w:rsid w:val="00FB36F9"/>
    <w:rsid w:val="00FB3D0C"/>
    <w:rsid w:val="00FB42CF"/>
    <w:rsid w:val="00FB4394"/>
    <w:rsid w:val="00FB443B"/>
    <w:rsid w:val="00FB59C0"/>
    <w:rsid w:val="00FB7F70"/>
    <w:rsid w:val="00FB7FEA"/>
    <w:rsid w:val="00FC11B2"/>
    <w:rsid w:val="00FC253E"/>
    <w:rsid w:val="00FC3050"/>
    <w:rsid w:val="00FC3C61"/>
    <w:rsid w:val="00FC5C71"/>
    <w:rsid w:val="00FC5F99"/>
    <w:rsid w:val="00FC6719"/>
    <w:rsid w:val="00FC67CB"/>
    <w:rsid w:val="00FC6A05"/>
    <w:rsid w:val="00FC6DB3"/>
    <w:rsid w:val="00FC6E65"/>
    <w:rsid w:val="00FC79CE"/>
    <w:rsid w:val="00FD12E0"/>
    <w:rsid w:val="00FD15F4"/>
    <w:rsid w:val="00FD1B86"/>
    <w:rsid w:val="00FD24D3"/>
    <w:rsid w:val="00FD6474"/>
    <w:rsid w:val="00FD6F48"/>
    <w:rsid w:val="00FD7742"/>
    <w:rsid w:val="00FD78D6"/>
    <w:rsid w:val="00FE04F1"/>
    <w:rsid w:val="00FE25F8"/>
    <w:rsid w:val="00FE2A0C"/>
    <w:rsid w:val="00FE2AF1"/>
    <w:rsid w:val="00FE2BB4"/>
    <w:rsid w:val="00FE2D01"/>
    <w:rsid w:val="00FE4D7F"/>
    <w:rsid w:val="00FE6B1A"/>
    <w:rsid w:val="00FE7405"/>
    <w:rsid w:val="00FE7881"/>
    <w:rsid w:val="00FE7A8A"/>
    <w:rsid w:val="00FF1C3D"/>
    <w:rsid w:val="00FF2DCB"/>
    <w:rsid w:val="00FF33B8"/>
    <w:rsid w:val="00FF585D"/>
    <w:rsid w:val="00FF5B72"/>
    <w:rsid w:val="00FF728E"/>
    <w:rsid w:val="00FF78CB"/>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72A5D"/>
  <w15:docId w15:val="{F708552B-A6A1-4958-ADD8-C3B26CBD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3C61"/>
    <w:pPr>
      <w:widowControl w:val="0"/>
      <w:tabs>
        <w:tab w:val="left" w:pos="7088"/>
      </w:tabs>
      <w:spacing w:after="120"/>
      <w:ind w:left="284"/>
    </w:pPr>
    <w:rPr>
      <w:rFonts w:ascii="Arial" w:hAnsi="Arial"/>
      <w:snapToGrid w:val="0"/>
      <w:sz w:val="22"/>
      <w:lang w:val="en-GB" w:eastAsia="sk-SK"/>
    </w:rPr>
  </w:style>
  <w:style w:type="paragraph" w:styleId="berschrift1">
    <w:name w:val="heading 1"/>
    <w:basedOn w:val="Standard"/>
    <w:next w:val="Standard"/>
    <w:qFormat/>
    <w:rsid w:val="005A60C2"/>
    <w:pPr>
      <w:numPr>
        <w:numId w:val="1"/>
      </w:numPr>
      <w:tabs>
        <w:tab w:val="clear" w:pos="7088"/>
        <w:tab w:val="left" w:pos="284"/>
      </w:tabs>
      <w:spacing w:before="240"/>
      <w:outlineLvl w:val="0"/>
    </w:pPr>
    <w:rPr>
      <w:b/>
      <w:bCs/>
      <w:sz w:val="24"/>
      <w:szCs w:val="24"/>
    </w:rPr>
  </w:style>
  <w:style w:type="paragraph" w:styleId="berschrift2">
    <w:name w:val="heading 2"/>
    <w:next w:val="Standard"/>
    <w:link w:val="berschrift2Zchn"/>
    <w:qFormat/>
    <w:rsid w:val="00A33C61"/>
    <w:pPr>
      <w:keepNext/>
      <w:numPr>
        <w:ilvl w:val="1"/>
        <w:numId w:val="1"/>
      </w:numPr>
      <w:spacing w:before="240" w:after="60"/>
      <w:ind w:left="576"/>
      <w:outlineLvl w:val="1"/>
    </w:pPr>
    <w:rPr>
      <w:rFonts w:ascii="Arial" w:hAnsi="Arial"/>
      <w:bCs/>
      <w:snapToGrid w:val="0"/>
      <w:sz w:val="22"/>
      <w:szCs w:val="22"/>
      <w:lang w:val="en-GB" w:eastAsia="sk-SK"/>
    </w:rPr>
  </w:style>
  <w:style w:type="paragraph" w:styleId="berschrift3">
    <w:name w:val="heading 3"/>
    <w:basedOn w:val="Standard"/>
    <w:next w:val="Standard"/>
    <w:qFormat/>
    <w:pPr>
      <w:keepNext/>
      <w:numPr>
        <w:ilvl w:val="2"/>
        <w:numId w:val="1"/>
      </w:numPr>
      <w:spacing w:before="240" w:after="60"/>
      <w:outlineLvl w:val="2"/>
    </w:pPr>
    <w:rPr>
      <w:b/>
      <w:sz w:val="24"/>
    </w:rPr>
  </w:style>
  <w:style w:type="paragraph" w:styleId="berschrift4">
    <w:name w:val="heading 4"/>
    <w:basedOn w:val="Standard"/>
    <w:next w:val="Standard"/>
    <w:qFormat/>
    <w:pPr>
      <w:keepNext/>
      <w:numPr>
        <w:ilvl w:val="3"/>
        <w:numId w:val="1"/>
      </w:numPr>
      <w:spacing w:before="240" w:after="60"/>
      <w:outlineLvl w:val="3"/>
    </w:pPr>
    <w:rPr>
      <w:b/>
    </w:r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rPr>
  </w:style>
  <w:style w:type="paragraph" w:styleId="berschrift7">
    <w:name w:val="heading 7"/>
    <w:basedOn w:val="Standard"/>
    <w:next w:val="Standard"/>
    <w:qFormat/>
    <w:pPr>
      <w:keepNext/>
      <w:numPr>
        <w:ilvl w:val="6"/>
        <w:numId w:val="1"/>
      </w:numPr>
      <w:tabs>
        <w:tab w:val="left" w:pos="426"/>
      </w:tabs>
      <w:outlineLvl w:val="6"/>
    </w:pPr>
    <w:rPr>
      <w:sz w:val="24"/>
    </w:rPr>
  </w:style>
  <w:style w:type="paragraph" w:styleId="berschrift8">
    <w:name w:val="heading 8"/>
    <w:basedOn w:val="Standard"/>
    <w:next w:val="Standard"/>
    <w:qFormat/>
    <w:pPr>
      <w:keepNext/>
      <w:numPr>
        <w:ilvl w:val="7"/>
        <w:numId w:val="1"/>
      </w:numPr>
      <w:jc w:val="center"/>
      <w:outlineLvl w:val="7"/>
    </w:pPr>
    <w:rPr>
      <w:b/>
      <w:sz w:val="26"/>
    </w:rPr>
  </w:style>
  <w:style w:type="paragraph" w:styleId="berschrift9">
    <w:name w:val="heading 9"/>
    <w:basedOn w:val="Standard"/>
    <w:next w:val="Standard"/>
    <w:qFormat/>
    <w:pPr>
      <w:keepNext/>
      <w:numPr>
        <w:ilvl w:val="8"/>
        <w:numId w:val="1"/>
      </w:numPr>
      <w:jc w:val="center"/>
      <w:outlineLvl w:val="8"/>
    </w:pPr>
    <w:rPr>
      <w:color w:val="FF0000"/>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sz w:val="24"/>
    </w:rPr>
  </w:style>
  <w:style w:type="paragraph" w:styleId="Fuzeile">
    <w:name w:val="footer"/>
    <w:basedOn w:val="Standard"/>
    <w:link w:val="FuzeileZchn"/>
    <w:uiPriority w:val="99"/>
    <w:pPr>
      <w:tabs>
        <w:tab w:val="center" w:pos="4536"/>
        <w:tab w:val="right" w:pos="9072"/>
      </w:tabs>
    </w:pPr>
    <w:rPr>
      <w:sz w:val="24"/>
    </w:rPr>
  </w:style>
  <w:style w:type="paragraph" w:styleId="Textkrper-Zeileneinzug">
    <w:name w:val="Body Text Indent"/>
    <w:basedOn w:val="Standard"/>
    <w:semiHidden/>
    <w:pPr>
      <w:jc w:val="both"/>
    </w:pPr>
    <w:rPr>
      <w:sz w:val="24"/>
    </w:rPr>
  </w:style>
  <w:style w:type="paragraph" w:styleId="Textkrper-Einzug2">
    <w:name w:val="Body Text Indent 2"/>
    <w:basedOn w:val="Standard"/>
    <w:semiHidden/>
    <w:pPr>
      <w:tabs>
        <w:tab w:val="left" w:pos="426"/>
      </w:tabs>
      <w:ind w:left="425" w:hanging="425"/>
      <w:jc w:val="both"/>
    </w:pPr>
    <w:rPr>
      <w:sz w:val="24"/>
    </w:rPr>
  </w:style>
  <w:style w:type="paragraph" w:styleId="Textkrper-Einzug3">
    <w:name w:val="Body Text Indent 3"/>
    <w:basedOn w:val="Standard"/>
    <w:semiHidden/>
    <w:pPr>
      <w:ind w:firstLine="426"/>
      <w:jc w:val="both"/>
    </w:pPr>
    <w:rPr>
      <w:sz w:val="24"/>
    </w:rPr>
  </w:style>
  <w:style w:type="paragraph" w:styleId="Textkrper">
    <w:name w:val="Body Text"/>
    <w:basedOn w:val="Standard"/>
    <w:semiHidden/>
    <w:pPr>
      <w:jc w:val="both"/>
    </w:pPr>
    <w:rPr>
      <w:sz w:val="24"/>
    </w:rPr>
  </w:style>
  <w:style w:type="paragraph" w:styleId="Textkrper2">
    <w:name w:val="Body Text 2"/>
    <w:basedOn w:val="Standard"/>
    <w:semiHidden/>
    <w:rPr>
      <w:sz w:val="24"/>
    </w:rPr>
  </w:style>
  <w:style w:type="character" w:styleId="Hyperlink">
    <w:name w:val="Hyperlink"/>
    <w:semiHidden/>
    <w:rPr>
      <w:color w:val="0000FF"/>
      <w:u w:val="single"/>
    </w:rPr>
  </w:style>
  <w:style w:type="paragraph" w:styleId="Textkrper3">
    <w:name w:val="Body Text 3"/>
    <w:basedOn w:val="Standard"/>
    <w:semiHidden/>
    <w:pPr>
      <w:tabs>
        <w:tab w:val="left" w:pos="567"/>
        <w:tab w:val="left" w:pos="709"/>
        <w:tab w:val="left" w:pos="7371"/>
      </w:tabs>
      <w:spacing w:line="360" w:lineRule="auto"/>
    </w:pPr>
  </w:style>
  <w:style w:type="paragraph" w:customStyle="1" w:styleId="txt11pt">
    <w:name w:val="txt11pt"/>
    <w:basedOn w:val="Standard"/>
    <w:pPr>
      <w:spacing w:before="100" w:beforeAutospacing="1" w:after="100" w:afterAutospacing="1"/>
    </w:pPr>
    <w:rPr>
      <w:rFonts w:ascii="Arial Unicode MS" w:eastAsia="Arial Unicode MS" w:hAnsi="Arial Unicode MS" w:cs="Arial Unicode MS"/>
      <w:sz w:val="24"/>
      <w:szCs w:val="24"/>
    </w:rPr>
  </w:style>
  <w:style w:type="paragraph" w:styleId="Dokumentstruktur">
    <w:name w:val="Document Map"/>
    <w:basedOn w:val="Standard"/>
    <w:semiHidden/>
    <w:pPr>
      <w:shd w:val="clear" w:color="auto" w:fill="000080"/>
    </w:pPr>
    <w:rPr>
      <w:rFonts w:ascii="Tahoma" w:hAnsi="Tahoma"/>
    </w:rPr>
  </w:style>
  <w:style w:type="character" w:styleId="BesuchterLink">
    <w:name w:val="FollowedHyperlink"/>
    <w:semiHidden/>
    <w:rPr>
      <w:color w:val="800080"/>
      <w:u w:val="single"/>
    </w:rPr>
  </w:style>
  <w:style w:type="paragraph" w:styleId="HTMLVorformatiert">
    <w:name w:val="HTML Preformatted"/>
    <w:basedOn w:val="Standard"/>
    <w:link w:val="HTMLVorformatiertZchn"/>
    <w:uiPriority w:val="99"/>
    <w:semiHidden/>
    <w:unhideWhenUsed/>
    <w:rsid w:val="00047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link w:val="HTMLVorformatiert"/>
    <w:uiPriority w:val="99"/>
    <w:semiHidden/>
    <w:rsid w:val="00047C5F"/>
    <w:rPr>
      <w:rFonts w:ascii="Courier New" w:hAnsi="Courier New" w:cs="Courier New"/>
    </w:rPr>
  </w:style>
  <w:style w:type="paragraph" w:styleId="Sprechblasentext">
    <w:name w:val="Balloon Text"/>
    <w:basedOn w:val="Standard"/>
    <w:link w:val="SprechblasentextZchn"/>
    <w:uiPriority w:val="99"/>
    <w:semiHidden/>
    <w:unhideWhenUsed/>
    <w:rsid w:val="005C48FB"/>
    <w:rPr>
      <w:rFonts w:ascii="Segoe UI" w:hAnsi="Segoe UI" w:cs="Segoe UI"/>
      <w:sz w:val="18"/>
      <w:szCs w:val="18"/>
    </w:rPr>
  </w:style>
  <w:style w:type="character" w:customStyle="1" w:styleId="SprechblasentextZchn">
    <w:name w:val="Sprechblasentext Zchn"/>
    <w:link w:val="Sprechblasentext"/>
    <w:uiPriority w:val="99"/>
    <w:semiHidden/>
    <w:rsid w:val="005C48FB"/>
    <w:rPr>
      <w:rFonts w:ascii="Segoe UI" w:hAnsi="Segoe UI" w:cs="Segoe UI"/>
      <w:sz w:val="18"/>
      <w:szCs w:val="18"/>
      <w:lang w:val="sk-SK" w:eastAsia="sk-SK"/>
    </w:rPr>
  </w:style>
  <w:style w:type="table" w:styleId="Tabellenraster">
    <w:name w:val="Table Grid"/>
    <w:basedOn w:val="NormaleTabelle"/>
    <w:uiPriority w:val="39"/>
    <w:rsid w:val="00CD5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E12B94"/>
    <w:rPr>
      <w:sz w:val="16"/>
      <w:szCs w:val="16"/>
    </w:rPr>
  </w:style>
  <w:style w:type="paragraph" w:styleId="Kommentartext">
    <w:name w:val="annotation text"/>
    <w:basedOn w:val="Standard"/>
    <w:link w:val="KommentartextZchn"/>
    <w:uiPriority w:val="99"/>
    <w:semiHidden/>
    <w:unhideWhenUsed/>
    <w:rsid w:val="00E12B94"/>
    <w:rPr>
      <w:sz w:val="20"/>
    </w:rPr>
  </w:style>
  <w:style w:type="character" w:customStyle="1" w:styleId="KommentartextZchn">
    <w:name w:val="Kommentartext Zchn"/>
    <w:link w:val="Kommentartext"/>
    <w:uiPriority w:val="99"/>
    <w:semiHidden/>
    <w:rsid w:val="00E12B94"/>
    <w:rPr>
      <w:rFonts w:ascii="Arial" w:hAnsi="Arial"/>
      <w:snapToGrid w:val="0"/>
      <w:lang w:val="en-GB" w:eastAsia="sk-SK"/>
    </w:rPr>
  </w:style>
  <w:style w:type="paragraph" w:styleId="Kommentarthema">
    <w:name w:val="annotation subject"/>
    <w:basedOn w:val="Kommentartext"/>
    <w:next w:val="Kommentartext"/>
    <w:link w:val="KommentarthemaZchn"/>
    <w:uiPriority w:val="99"/>
    <w:semiHidden/>
    <w:unhideWhenUsed/>
    <w:rsid w:val="00E12B94"/>
    <w:rPr>
      <w:b/>
      <w:bCs/>
    </w:rPr>
  </w:style>
  <w:style w:type="character" w:customStyle="1" w:styleId="KommentarthemaZchn">
    <w:name w:val="Kommentarthema Zchn"/>
    <w:link w:val="Kommentarthema"/>
    <w:uiPriority w:val="99"/>
    <w:semiHidden/>
    <w:rsid w:val="00E12B94"/>
    <w:rPr>
      <w:rFonts w:ascii="Arial" w:hAnsi="Arial"/>
      <w:b/>
      <w:bCs/>
      <w:snapToGrid w:val="0"/>
      <w:lang w:val="en-GB" w:eastAsia="sk-SK"/>
    </w:rPr>
  </w:style>
  <w:style w:type="paragraph" w:styleId="StandardWeb">
    <w:name w:val="Normal (Web)"/>
    <w:basedOn w:val="Standard"/>
    <w:uiPriority w:val="99"/>
    <w:unhideWhenUsed/>
    <w:rsid w:val="00077526"/>
    <w:pPr>
      <w:widowControl/>
      <w:tabs>
        <w:tab w:val="clear" w:pos="7088"/>
      </w:tabs>
      <w:spacing w:before="100" w:beforeAutospacing="1" w:after="100" w:afterAutospacing="1"/>
      <w:ind w:left="0"/>
    </w:pPr>
    <w:rPr>
      <w:rFonts w:ascii="Times New Roman" w:hAnsi="Times New Roman"/>
      <w:snapToGrid/>
      <w:sz w:val="24"/>
      <w:szCs w:val="24"/>
      <w:lang w:val="en-US" w:eastAsia="en-US"/>
    </w:rPr>
  </w:style>
  <w:style w:type="paragraph" w:styleId="Kopfzeile">
    <w:name w:val="header"/>
    <w:basedOn w:val="Standard"/>
    <w:link w:val="KopfzeileZchn"/>
    <w:uiPriority w:val="99"/>
    <w:unhideWhenUsed/>
    <w:rsid w:val="007319FC"/>
    <w:pPr>
      <w:tabs>
        <w:tab w:val="clear" w:pos="7088"/>
        <w:tab w:val="center" w:pos="4536"/>
        <w:tab w:val="right" w:pos="9072"/>
      </w:tabs>
    </w:pPr>
  </w:style>
  <w:style w:type="character" w:customStyle="1" w:styleId="KopfzeileZchn">
    <w:name w:val="Kopfzeile Zchn"/>
    <w:link w:val="Kopfzeile"/>
    <w:uiPriority w:val="99"/>
    <w:rsid w:val="007319FC"/>
    <w:rPr>
      <w:rFonts w:ascii="Arial" w:hAnsi="Arial"/>
      <w:snapToGrid w:val="0"/>
      <w:sz w:val="22"/>
      <w:lang w:val="en-GB" w:eastAsia="sk-SK"/>
    </w:rPr>
  </w:style>
  <w:style w:type="character" w:customStyle="1" w:styleId="FuzeileZchn">
    <w:name w:val="Fußzeile Zchn"/>
    <w:link w:val="Fuzeile"/>
    <w:uiPriority w:val="99"/>
    <w:rsid w:val="007319FC"/>
    <w:rPr>
      <w:rFonts w:ascii="Arial" w:hAnsi="Arial"/>
      <w:snapToGrid w:val="0"/>
      <w:sz w:val="24"/>
      <w:lang w:val="en-GB" w:eastAsia="sk-SK"/>
    </w:rPr>
  </w:style>
  <w:style w:type="paragraph" w:styleId="Listenabsatz">
    <w:name w:val="List Paragraph"/>
    <w:basedOn w:val="Standard"/>
    <w:uiPriority w:val="34"/>
    <w:qFormat/>
    <w:rsid w:val="006306F2"/>
    <w:pPr>
      <w:ind w:left="720"/>
      <w:contextualSpacing/>
    </w:pPr>
  </w:style>
  <w:style w:type="character" w:customStyle="1" w:styleId="berschrift2Zchn">
    <w:name w:val="Überschrift 2 Zchn"/>
    <w:basedOn w:val="Absatz-Standardschriftart"/>
    <w:link w:val="berschrift2"/>
    <w:rsid w:val="00727EAF"/>
    <w:rPr>
      <w:rFonts w:ascii="Arial" w:hAnsi="Arial"/>
      <w:bCs/>
      <w:snapToGrid w:val="0"/>
      <w:sz w:val="22"/>
      <w:szCs w:val="22"/>
      <w:lang w:val="en-GB" w:eastAsia="sk-SK"/>
    </w:rPr>
  </w:style>
  <w:style w:type="paragraph" w:styleId="berarbeitung">
    <w:name w:val="Revision"/>
    <w:hidden/>
    <w:uiPriority w:val="99"/>
    <w:semiHidden/>
    <w:rsid w:val="00736683"/>
    <w:rPr>
      <w:rFonts w:ascii="Arial" w:hAnsi="Arial"/>
      <w:snapToGrid w:val="0"/>
      <w:sz w:val="22"/>
      <w:lang w:val="en-GB" w:eastAsia="sk-SK"/>
    </w:rPr>
  </w:style>
  <w:style w:type="character" w:customStyle="1" w:styleId="NichtaufgelsteErwhnung1">
    <w:name w:val="Nicht aufgelöste Erwähnung1"/>
    <w:basedOn w:val="Absatz-Standardschriftart"/>
    <w:uiPriority w:val="99"/>
    <w:semiHidden/>
    <w:unhideWhenUsed/>
    <w:rsid w:val="00107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706">
      <w:bodyDiv w:val="1"/>
      <w:marLeft w:val="0"/>
      <w:marRight w:val="0"/>
      <w:marTop w:val="0"/>
      <w:marBottom w:val="0"/>
      <w:divBdr>
        <w:top w:val="none" w:sz="0" w:space="0" w:color="auto"/>
        <w:left w:val="none" w:sz="0" w:space="0" w:color="auto"/>
        <w:bottom w:val="none" w:sz="0" w:space="0" w:color="auto"/>
        <w:right w:val="none" w:sz="0" w:space="0" w:color="auto"/>
      </w:divBdr>
    </w:div>
    <w:div w:id="60376426">
      <w:bodyDiv w:val="1"/>
      <w:marLeft w:val="0"/>
      <w:marRight w:val="0"/>
      <w:marTop w:val="0"/>
      <w:marBottom w:val="0"/>
      <w:divBdr>
        <w:top w:val="none" w:sz="0" w:space="0" w:color="auto"/>
        <w:left w:val="none" w:sz="0" w:space="0" w:color="auto"/>
        <w:bottom w:val="none" w:sz="0" w:space="0" w:color="auto"/>
        <w:right w:val="none" w:sz="0" w:space="0" w:color="auto"/>
      </w:divBdr>
    </w:div>
    <w:div w:id="128670909">
      <w:bodyDiv w:val="1"/>
      <w:marLeft w:val="0"/>
      <w:marRight w:val="0"/>
      <w:marTop w:val="0"/>
      <w:marBottom w:val="0"/>
      <w:divBdr>
        <w:top w:val="none" w:sz="0" w:space="0" w:color="auto"/>
        <w:left w:val="none" w:sz="0" w:space="0" w:color="auto"/>
        <w:bottom w:val="none" w:sz="0" w:space="0" w:color="auto"/>
        <w:right w:val="none" w:sz="0" w:space="0" w:color="auto"/>
      </w:divBdr>
      <w:divsChild>
        <w:div w:id="1349982512">
          <w:marLeft w:val="1282"/>
          <w:marRight w:val="0"/>
          <w:marTop w:val="0"/>
          <w:marBottom w:val="240"/>
          <w:divBdr>
            <w:top w:val="none" w:sz="0" w:space="0" w:color="auto"/>
            <w:left w:val="none" w:sz="0" w:space="0" w:color="auto"/>
            <w:bottom w:val="none" w:sz="0" w:space="0" w:color="auto"/>
            <w:right w:val="none" w:sz="0" w:space="0" w:color="auto"/>
          </w:divBdr>
        </w:div>
        <w:div w:id="1938783490">
          <w:marLeft w:val="1282"/>
          <w:marRight w:val="0"/>
          <w:marTop w:val="0"/>
          <w:marBottom w:val="240"/>
          <w:divBdr>
            <w:top w:val="none" w:sz="0" w:space="0" w:color="auto"/>
            <w:left w:val="none" w:sz="0" w:space="0" w:color="auto"/>
            <w:bottom w:val="none" w:sz="0" w:space="0" w:color="auto"/>
            <w:right w:val="none" w:sz="0" w:space="0" w:color="auto"/>
          </w:divBdr>
        </w:div>
        <w:div w:id="107508040">
          <w:marLeft w:val="1282"/>
          <w:marRight w:val="0"/>
          <w:marTop w:val="0"/>
          <w:marBottom w:val="240"/>
          <w:divBdr>
            <w:top w:val="none" w:sz="0" w:space="0" w:color="auto"/>
            <w:left w:val="none" w:sz="0" w:space="0" w:color="auto"/>
            <w:bottom w:val="none" w:sz="0" w:space="0" w:color="auto"/>
            <w:right w:val="none" w:sz="0" w:space="0" w:color="auto"/>
          </w:divBdr>
        </w:div>
        <w:div w:id="128406420">
          <w:marLeft w:val="1282"/>
          <w:marRight w:val="0"/>
          <w:marTop w:val="0"/>
          <w:marBottom w:val="240"/>
          <w:divBdr>
            <w:top w:val="none" w:sz="0" w:space="0" w:color="auto"/>
            <w:left w:val="none" w:sz="0" w:space="0" w:color="auto"/>
            <w:bottom w:val="none" w:sz="0" w:space="0" w:color="auto"/>
            <w:right w:val="none" w:sz="0" w:space="0" w:color="auto"/>
          </w:divBdr>
        </w:div>
      </w:divsChild>
    </w:div>
    <w:div w:id="180976495">
      <w:bodyDiv w:val="1"/>
      <w:marLeft w:val="0"/>
      <w:marRight w:val="0"/>
      <w:marTop w:val="0"/>
      <w:marBottom w:val="0"/>
      <w:divBdr>
        <w:top w:val="none" w:sz="0" w:space="0" w:color="auto"/>
        <w:left w:val="none" w:sz="0" w:space="0" w:color="auto"/>
        <w:bottom w:val="none" w:sz="0" w:space="0" w:color="auto"/>
        <w:right w:val="none" w:sz="0" w:space="0" w:color="auto"/>
      </w:divBdr>
    </w:div>
    <w:div w:id="237787855">
      <w:bodyDiv w:val="1"/>
      <w:marLeft w:val="0"/>
      <w:marRight w:val="0"/>
      <w:marTop w:val="0"/>
      <w:marBottom w:val="0"/>
      <w:divBdr>
        <w:top w:val="none" w:sz="0" w:space="0" w:color="auto"/>
        <w:left w:val="none" w:sz="0" w:space="0" w:color="auto"/>
        <w:bottom w:val="none" w:sz="0" w:space="0" w:color="auto"/>
        <w:right w:val="none" w:sz="0" w:space="0" w:color="auto"/>
      </w:divBdr>
    </w:div>
    <w:div w:id="271209716">
      <w:bodyDiv w:val="1"/>
      <w:marLeft w:val="0"/>
      <w:marRight w:val="0"/>
      <w:marTop w:val="0"/>
      <w:marBottom w:val="0"/>
      <w:divBdr>
        <w:top w:val="none" w:sz="0" w:space="0" w:color="auto"/>
        <w:left w:val="none" w:sz="0" w:space="0" w:color="auto"/>
        <w:bottom w:val="none" w:sz="0" w:space="0" w:color="auto"/>
        <w:right w:val="none" w:sz="0" w:space="0" w:color="auto"/>
      </w:divBdr>
    </w:div>
    <w:div w:id="272053998">
      <w:bodyDiv w:val="1"/>
      <w:marLeft w:val="0"/>
      <w:marRight w:val="0"/>
      <w:marTop w:val="0"/>
      <w:marBottom w:val="0"/>
      <w:divBdr>
        <w:top w:val="none" w:sz="0" w:space="0" w:color="auto"/>
        <w:left w:val="none" w:sz="0" w:space="0" w:color="auto"/>
        <w:bottom w:val="none" w:sz="0" w:space="0" w:color="auto"/>
        <w:right w:val="none" w:sz="0" w:space="0" w:color="auto"/>
      </w:divBdr>
    </w:div>
    <w:div w:id="359285852">
      <w:bodyDiv w:val="1"/>
      <w:marLeft w:val="0"/>
      <w:marRight w:val="0"/>
      <w:marTop w:val="0"/>
      <w:marBottom w:val="0"/>
      <w:divBdr>
        <w:top w:val="none" w:sz="0" w:space="0" w:color="auto"/>
        <w:left w:val="none" w:sz="0" w:space="0" w:color="auto"/>
        <w:bottom w:val="none" w:sz="0" w:space="0" w:color="auto"/>
        <w:right w:val="none" w:sz="0" w:space="0" w:color="auto"/>
      </w:divBdr>
    </w:div>
    <w:div w:id="364520126">
      <w:bodyDiv w:val="1"/>
      <w:marLeft w:val="0"/>
      <w:marRight w:val="0"/>
      <w:marTop w:val="0"/>
      <w:marBottom w:val="0"/>
      <w:divBdr>
        <w:top w:val="none" w:sz="0" w:space="0" w:color="auto"/>
        <w:left w:val="none" w:sz="0" w:space="0" w:color="auto"/>
        <w:bottom w:val="none" w:sz="0" w:space="0" w:color="auto"/>
        <w:right w:val="none" w:sz="0" w:space="0" w:color="auto"/>
      </w:divBdr>
    </w:div>
    <w:div w:id="487208134">
      <w:bodyDiv w:val="1"/>
      <w:marLeft w:val="0"/>
      <w:marRight w:val="0"/>
      <w:marTop w:val="0"/>
      <w:marBottom w:val="0"/>
      <w:divBdr>
        <w:top w:val="none" w:sz="0" w:space="0" w:color="auto"/>
        <w:left w:val="none" w:sz="0" w:space="0" w:color="auto"/>
        <w:bottom w:val="none" w:sz="0" w:space="0" w:color="auto"/>
        <w:right w:val="none" w:sz="0" w:space="0" w:color="auto"/>
      </w:divBdr>
    </w:div>
    <w:div w:id="517428210">
      <w:bodyDiv w:val="1"/>
      <w:marLeft w:val="0"/>
      <w:marRight w:val="0"/>
      <w:marTop w:val="0"/>
      <w:marBottom w:val="0"/>
      <w:divBdr>
        <w:top w:val="none" w:sz="0" w:space="0" w:color="auto"/>
        <w:left w:val="none" w:sz="0" w:space="0" w:color="auto"/>
        <w:bottom w:val="none" w:sz="0" w:space="0" w:color="auto"/>
        <w:right w:val="none" w:sz="0" w:space="0" w:color="auto"/>
      </w:divBdr>
    </w:div>
    <w:div w:id="536772083">
      <w:bodyDiv w:val="1"/>
      <w:marLeft w:val="0"/>
      <w:marRight w:val="0"/>
      <w:marTop w:val="0"/>
      <w:marBottom w:val="0"/>
      <w:divBdr>
        <w:top w:val="none" w:sz="0" w:space="0" w:color="auto"/>
        <w:left w:val="none" w:sz="0" w:space="0" w:color="auto"/>
        <w:bottom w:val="none" w:sz="0" w:space="0" w:color="auto"/>
        <w:right w:val="none" w:sz="0" w:space="0" w:color="auto"/>
      </w:divBdr>
    </w:div>
    <w:div w:id="555438750">
      <w:bodyDiv w:val="1"/>
      <w:marLeft w:val="0"/>
      <w:marRight w:val="0"/>
      <w:marTop w:val="0"/>
      <w:marBottom w:val="0"/>
      <w:divBdr>
        <w:top w:val="none" w:sz="0" w:space="0" w:color="auto"/>
        <w:left w:val="none" w:sz="0" w:space="0" w:color="auto"/>
        <w:bottom w:val="none" w:sz="0" w:space="0" w:color="auto"/>
        <w:right w:val="none" w:sz="0" w:space="0" w:color="auto"/>
      </w:divBdr>
    </w:div>
    <w:div w:id="700203171">
      <w:bodyDiv w:val="1"/>
      <w:marLeft w:val="0"/>
      <w:marRight w:val="0"/>
      <w:marTop w:val="0"/>
      <w:marBottom w:val="0"/>
      <w:divBdr>
        <w:top w:val="none" w:sz="0" w:space="0" w:color="auto"/>
        <w:left w:val="none" w:sz="0" w:space="0" w:color="auto"/>
        <w:bottom w:val="none" w:sz="0" w:space="0" w:color="auto"/>
        <w:right w:val="none" w:sz="0" w:space="0" w:color="auto"/>
      </w:divBdr>
    </w:div>
    <w:div w:id="705175958">
      <w:bodyDiv w:val="1"/>
      <w:marLeft w:val="0"/>
      <w:marRight w:val="0"/>
      <w:marTop w:val="0"/>
      <w:marBottom w:val="0"/>
      <w:divBdr>
        <w:top w:val="none" w:sz="0" w:space="0" w:color="auto"/>
        <w:left w:val="none" w:sz="0" w:space="0" w:color="auto"/>
        <w:bottom w:val="none" w:sz="0" w:space="0" w:color="auto"/>
        <w:right w:val="none" w:sz="0" w:space="0" w:color="auto"/>
      </w:divBdr>
    </w:div>
    <w:div w:id="712341277">
      <w:bodyDiv w:val="1"/>
      <w:marLeft w:val="0"/>
      <w:marRight w:val="0"/>
      <w:marTop w:val="0"/>
      <w:marBottom w:val="0"/>
      <w:divBdr>
        <w:top w:val="none" w:sz="0" w:space="0" w:color="auto"/>
        <w:left w:val="none" w:sz="0" w:space="0" w:color="auto"/>
        <w:bottom w:val="none" w:sz="0" w:space="0" w:color="auto"/>
        <w:right w:val="none" w:sz="0" w:space="0" w:color="auto"/>
      </w:divBdr>
    </w:div>
    <w:div w:id="752049251">
      <w:bodyDiv w:val="1"/>
      <w:marLeft w:val="0"/>
      <w:marRight w:val="0"/>
      <w:marTop w:val="0"/>
      <w:marBottom w:val="0"/>
      <w:divBdr>
        <w:top w:val="none" w:sz="0" w:space="0" w:color="auto"/>
        <w:left w:val="none" w:sz="0" w:space="0" w:color="auto"/>
        <w:bottom w:val="none" w:sz="0" w:space="0" w:color="auto"/>
        <w:right w:val="none" w:sz="0" w:space="0" w:color="auto"/>
      </w:divBdr>
    </w:div>
    <w:div w:id="776405710">
      <w:bodyDiv w:val="1"/>
      <w:marLeft w:val="0"/>
      <w:marRight w:val="0"/>
      <w:marTop w:val="0"/>
      <w:marBottom w:val="0"/>
      <w:divBdr>
        <w:top w:val="none" w:sz="0" w:space="0" w:color="auto"/>
        <w:left w:val="none" w:sz="0" w:space="0" w:color="auto"/>
        <w:bottom w:val="none" w:sz="0" w:space="0" w:color="auto"/>
        <w:right w:val="none" w:sz="0" w:space="0" w:color="auto"/>
      </w:divBdr>
    </w:div>
    <w:div w:id="800658755">
      <w:bodyDiv w:val="1"/>
      <w:marLeft w:val="0"/>
      <w:marRight w:val="0"/>
      <w:marTop w:val="0"/>
      <w:marBottom w:val="0"/>
      <w:divBdr>
        <w:top w:val="none" w:sz="0" w:space="0" w:color="auto"/>
        <w:left w:val="none" w:sz="0" w:space="0" w:color="auto"/>
        <w:bottom w:val="none" w:sz="0" w:space="0" w:color="auto"/>
        <w:right w:val="none" w:sz="0" w:space="0" w:color="auto"/>
      </w:divBdr>
      <w:divsChild>
        <w:div w:id="1754430155">
          <w:marLeft w:val="720"/>
          <w:marRight w:val="0"/>
          <w:marTop w:val="115"/>
          <w:marBottom w:val="0"/>
          <w:divBdr>
            <w:top w:val="none" w:sz="0" w:space="0" w:color="auto"/>
            <w:left w:val="none" w:sz="0" w:space="0" w:color="auto"/>
            <w:bottom w:val="none" w:sz="0" w:space="0" w:color="auto"/>
            <w:right w:val="none" w:sz="0" w:space="0" w:color="auto"/>
          </w:divBdr>
        </w:div>
        <w:div w:id="409618134">
          <w:marLeft w:val="720"/>
          <w:marRight w:val="0"/>
          <w:marTop w:val="115"/>
          <w:marBottom w:val="0"/>
          <w:divBdr>
            <w:top w:val="none" w:sz="0" w:space="0" w:color="auto"/>
            <w:left w:val="none" w:sz="0" w:space="0" w:color="auto"/>
            <w:bottom w:val="none" w:sz="0" w:space="0" w:color="auto"/>
            <w:right w:val="none" w:sz="0" w:space="0" w:color="auto"/>
          </w:divBdr>
        </w:div>
        <w:div w:id="1343700641">
          <w:marLeft w:val="720"/>
          <w:marRight w:val="0"/>
          <w:marTop w:val="115"/>
          <w:marBottom w:val="0"/>
          <w:divBdr>
            <w:top w:val="none" w:sz="0" w:space="0" w:color="auto"/>
            <w:left w:val="none" w:sz="0" w:space="0" w:color="auto"/>
            <w:bottom w:val="none" w:sz="0" w:space="0" w:color="auto"/>
            <w:right w:val="none" w:sz="0" w:space="0" w:color="auto"/>
          </w:divBdr>
        </w:div>
      </w:divsChild>
    </w:div>
    <w:div w:id="902451173">
      <w:bodyDiv w:val="1"/>
      <w:marLeft w:val="0"/>
      <w:marRight w:val="0"/>
      <w:marTop w:val="0"/>
      <w:marBottom w:val="0"/>
      <w:divBdr>
        <w:top w:val="none" w:sz="0" w:space="0" w:color="auto"/>
        <w:left w:val="none" w:sz="0" w:space="0" w:color="auto"/>
        <w:bottom w:val="none" w:sz="0" w:space="0" w:color="auto"/>
        <w:right w:val="none" w:sz="0" w:space="0" w:color="auto"/>
      </w:divBdr>
    </w:div>
    <w:div w:id="929120138">
      <w:bodyDiv w:val="1"/>
      <w:marLeft w:val="0"/>
      <w:marRight w:val="0"/>
      <w:marTop w:val="0"/>
      <w:marBottom w:val="0"/>
      <w:divBdr>
        <w:top w:val="none" w:sz="0" w:space="0" w:color="auto"/>
        <w:left w:val="none" w:sz="0" w:space="0" w:color="auto"/>
        <w:bottom w:val="none" w:sz="0" w:space="0" w:color="auto"/>
        <w:right w:val="none" w:sz="0" w:space="0" w:color="auto"/>
      </w:divBdr>
    </w:div>
    <w:div w:id="974725985">
      <w:bodyDiv w:val="1"/>
      <w:marLeft w:val="0"/>
      <w:marRight w:val="0"/>
      <w:marTop w:val="0"/>
      <w:marBottom w:val="0"/>
      <w:divBdr>
        <w:top w:val="none" w:sz="0" w:space="0" w:color="auto"/>
        <w:left w:val="none" w:sz="0" w:space="0" w:color="auto"/>
        <w:bottom w:val="none" w:sz="0" w:space="0" w:color="auto"/>
        <w:right w:val="none" w:sz="0" w:space="0" w:color="auto"/>
      </w:divBdr>
    </w:div>
    <w:div w:id="1056509544">
      <w:bodyDiv w:val="1"/>
      <w:marLeft w:val="0"/>
      <w:marRight w:val="0"/>
      <w:marTop w:val="0"/>
      <w:marBottom w:val="0"/>
      <w:divBdr>
        <w:top w:val="none" w:sz="0" w:space="0" w:color="auto"/>
        <w:left w:val="none" w:sz="0" w:space="0" w:color="auto"/>
        <w:bottom w:val="none" w:sz="0" w:space="0" w:color="auto"/>
        <w:right w:val="none" w:sz="0" w:space="0" w:color="auto"/>
      </w:divBdr>
    </w:div>
    <w:div w:id="1082020449">
      <w:bodyDiv w:val="1"/>
      <w:marLeft w:val="0"/>
      <w:marRight w:val="0"/>
      <w:marTop w:val="0"/>
      <w:marBottom w:val="0"/>
      <w:divBdr>
        <w:top w:val="none" w:sz="0" w:space="0" w:color="auto"/>
        <w:left w:val="none" w:sz="0" w:space="0" w:color="auto"/>
        <w:bottom w:val="none" w:sz="0" w:space="0" w:color="auto"/>
        <w:right w:val="none" w:sz="0" w:space="0" w:color="auto"/>
      </w:divBdr>
    </w:div>
    <w:div w:id="1123188308">
      <w:bodyDiv w:val="1"/>
      <w:marLeft w:val="0"/>
      <w:marRight w:val="0"/>
      <w:marTop w:val="0"/>
      <w:marBottom w:val="0"/>
      <w:divBdr>
        <w:top w:val="none" w:sz="0" w:space="0" w:color="auto"/>
        <w:left w:val="none" w:sz="0" w:space="0" w:color="auto"/>
        <w:bottom w:val="none" w:sz="0" w:space="0" w:color="auto"/>
        <w:right w:val="none" w:sz="0" w:space="0" w:color="auto"/>
      </w:divBdr>
    </w:div>
    <w:div w:id="1267734262">
      <w:bodyDiv w:val="1"/>
      <w:marLeft w:val="0"/>
      <w:marRight w:val="0"/>
      <w:marTop w:val="0"/>
      <w:marBottom w:val="0"/>
      <w:divBdr>
        <w:top w:val="none" w:sz="0" w:space="0" w:color="auto"/>
        <w:left w:val="none" w:sz="0" w:space="0" w:color="auto"/>
        <w:bottom w:val="none" w:sz="0" w:space="0" w:color="auto"/>
        <w:right w:val="none" w:sz="0" w:space="0" w:color="auto"/>
      </w:divBdr>
      <w:divsChild>
        <w:div w:id="1235168361">
          <w:marLeft w:val="360"/>
          <w:marRight w:val="0"/>
          <w:marTop w:val="200"/>
          <w:marBottom w:val="0"/>
          <w:divBdr>
            <w:top w:val="none" w:sz="0" w:space="0" w:color="auto"/>
            <w:left w:val="none" w:sz="0" w:space="0" w:color="auto"/>
            <w:bottom w:val="none" w:sz="0" w:space="0" w:color="auto"/>
            <w:right w:val="none" w:sz="0" w:space="0" w:color="auto"/>
          </w:divBdr>
        </w:div>
        <w:div w:id="1795757797">
          <w:marLeft w:val="360"/>
          <w:marRight w:val="0"/>
          <w:marTop w:val="200"/>
          <w:marBottom w:val="0"/>
          <w:divBdr>
            <w:top w:val="none" w:sz="0" w:space="0" w:color="auto"/>
            <w:left w:val="none" w:sz="0" w:space="0" w:color="auto"/>
            <w:bottom w:val="none" w:sz="0" w:space="0" w:color="auto"/>
            <w:right w:val="none" w:sz="0" w:space="0" w:color="auto"/>
          </w:divBdr>
        </w:div>
        <w:div w:id="597451271">
          <w:marLeft w:val="360"/>
          <w:marRight w:val="0"/>
          <w:marTop w:val="200"/>
          <w:marBottom w:val="0"/>
          <w:divBdr>
            <w:top w:val="none" w:sz="0" w:space="0" w:color="auto"/>
            <w:left w:val="none" w:sz="0" w:space="0" w:color="auto"/>
            <w:bottom w:val="none" w:sz="0" w:space="0" w:color="auto"/>
            <w:right w:val="none" w:sz="0" w:space="0" w:color="auto"/>
          </w:divBdr>
        </w:div>
        <w:div w:id="1211650246">
          <w:marLeft w:val="360"/>
          <w:marRight w:val="0"/>
          <w:marTop w:val="200"/>
          <w:marBottom w:val="0"/>
          <w:divBdr>
            <w:top w:val="none" w:sz="0" w:space="0" w:color="auto"/>
            <w:left w:val="none" w:sz="0" w:space="0" w:color="auto"/>
            <w:bottom w:val="none" w:sz="0" w:space="0" w:color="auto"/>
            <w:right w:val="none" w:sz="0" w:space="0" w:color="auto"/>
          </w:divBdr>
        </w:div>
        <w:div w:id="1276055370">
          <w:marLeft w:val="360"/>
          <w:marRight w:val="0"/>
          <w:marTop w:val="200"/>
          <w:marBottom w:val="0"/>
          <w:divBdr>
            <w:top w:val="none" w:sz="0" w:space="0" w:color="auto"/>
            <w:left w:val="none" w:sz="0" w:space="0" w:color="auto"/>
            <w:bottom w:val="none" w:sz="0" w:space="0" w:color="auto"/>
            <w:right w:val="none" w:sz="0" w:space="0" w:color="auto"/>
          </w:divBdr>
        </w:div>
        <w:div w:id="852383906">
          <w:marLeft w:val="360"/>
          <w:marRight w:val="0"/>
          <w:marTop w:val="200"/>
          <w:marBottom w:val="0"/>
          <w:divBdr>
            <w:top w:val="none" w:sz="0" w:space="0" w:color="auto"/>
            <w:left w:val="none" w:sz="0" w:space="0" w:color="auto"/>
            <w:bottom w:val="none" w:sz="0" w:space="0" w:color="auto"/>
            <w:right w:val="none" w:sz="0" w:space="0" w:color="auto"/>
          </w:divBdr>
        </w:div>
        <w:div w:id="2014337025">
          <w:marLeft w:val="360"/>
          <w:marRight w:val="0"/>
          <w:marTop w:val="200"/>
          <w:marBottom w:val="0"/>
          <w:divBdr>
            <w:top w:val="none" w:sz="0" w:space="0" w:color="auto"/>
            <w:left w:val="none" w:sz="0" w:space="0" w:color="auto"/>
            <w:bottom w:val="none" w:sz="0" w:space="0" w:color="auto"/>
            <w:right w:val="none" w:sz="0" w:space="0" w:color="auto"/>
          </w:divBdr>
        </w:div>
      </w:divsChild>
    </w:div>
    <w:div w:id="1310210183">
      <w:bodyDiv w:val="1"/>
      <w:marLeft w:val="0"/>
      <w:marRight w:val="0"/>
      <w:marTop w:val="0"/>
      <w:marBottom w:val="0"/>
      <w:divBdr>
        <w:top w:val="none" w:sz="0" w:space="0" w:color="auto"/>
        <w:left w:val="none" w:sz="0" w:space="0" w:color="auto"/>
        <w:bottom w:val="none" w:sz="0" w:space="0" w:color="auto"/>
        <w:right w:val="none" w:sz="0" w:space="0" w:color="auto"/>
      </w:divBdr>
    </w:div>
    <w:div w:id="1396200946">
      <w:bodyDiv w:val="1"/>
      <w:marLeft w:val="0"/>
      <w:marRight w:val="0"/>
      <w:marTop w:val="0"/>
      <w:marBottom w:val="0"/>
      <w:divBdr>
        <w:top w:val="none" w:sz="0" w:space="0" w:color="auto"/>
        <w:left w:val="none" w:sz="0" w:space="0" w:color="auto"/>
        <w:bottom w:val="none" w:sz="0" w:space="0" w:color="auto"/>
        <w:right w:val="none" w:sz="0" w:space="0" w:color="auto"/>
      </w:divBdr>
    </w:div>
    <w:div w:id="1477723433">
      <w:bodyDiv w:val="1"/>
      <w:marLeft w:val="0"/>
      <w:marRight w:val="0"/>
      <w:marTop w:val="0"/>
      <w:marBottom w:val="0"/>
      <w:divBdr>
        <w:top w:val="none" w:sz="0" w:space="0" w:color="auto"/>
        <w:left w:val="none" w:sz="0" w:space="0" w:color="auto"/>
        <w:bottom w:val="none" w:sz="0" w:space="0" w:color="auto"/>
        <w:right w:val="none" w:sz="0" w:space="0" w:color="auto"/>
      </w:divBdr>
    </w:div>
    <w:div w:id="1482120212">
      <w:bodyDiv w:val="1"/>
      <w:marLeft w:val="0"/>
      <w:marRight w:val="0"/>
      <w:marTop w:val="0"/>
      <w:marBottom w:val="0"/>
      <w:divBdr>
        <w:top w:val="none" w:sz="0" w:space="0" w:color="auto"/>
        <w:left w:val="none" w:sz="0" w:space="0" w:color="auto"/>
        <w:bottom w:val="none" w:sz="0" w:space="0" w:color="auto"/>
        <w:right w:val="none" w:sz="0" w:space="0" w:color="auto"/>
      </w:divBdr>
    </w:div>
    <w:div w:id="1532497665">
      <w:bodyDiv w:val="1"/>
      <w:marLeft w:val="0"/>
      <w:marRight w:val="0"/>
      <w:marTop w:val="0"/>
      <w:marBottom w:val="0"/>
      <w:divBdr>
        <w:top w:val="none" w:sz="0" w:space="0" w:color="auto"/>
        <w:left w:val="none" w:sz="0" w:space="0" w:color="auto"/>
        <w:bottom w:val="none" w:sz="0" w:space="0" w:color="auto"/>
        <w:right w:val="none" w:sz="0" w:space="0" w:color="auto"/>
      </w:divBdr>
    </w:div>
    <w:div w:id="1578440541">
      <w:bodyDiv w:val="1"/>
      <w:marLeft w:val="0"/>
      <w:marRight w:val="0"/>
      <w:marTop w:val="0"/>
      <w:marBottom w:val="0"/>
      <w:divBdr>
        <w:top w:val="none" w:sz="0" w:space="0" w:color="auto"/>
        <w:left w:val="none" w:sz="0" w:space="0" w:color="auto"/>
        <w:bottom w:val="none" w:sz="0" w:space="0" w:color="auto"/>
        <w:right w:val="none" w:sz="0" w:space="0" w:color="auto"/>
      </w:divBdr>
    </w:div>
    <w:div w:id="1601715066">
      <w:bodyDiv w:val="1"/>
      <w:marLeft w:val="0"/>
      <w:marRight w:val="0"/>
      <w:marTop w:val="0"/>
      <w:marBottom w:val="0"/>
      <w:divBdr>
        <w:top w:val="none" w:sz="0" w:space="0" w:color="auto"/>
        <w:left w:val="none" w:sz="0" w:space="0" w:color="auto"/>
        <w:bottom w:val="none" w:sz="0" w:space="0" w:color="auto"/>
        <w:right w:val="none" w:sz="0" w:space="0" w:color="auto"/>
      </w:divBdr>
    </w:div>
    <w:div w:id="1848978729">
      <w:bodyDiv w:val="1"/>
      <w:marLeft w:val="0"/>
      <w:marRight w:val="0"/>
      <w:marTop w:val="0"/>
      <w:marBottom w:val="0"/>
      <w:divBdr>
        <w:top w:val="none" w:sz="0" w:space="0" w:color="auto"/>
        <w:left w:val="none" w:sz="0" w:space="0" w:color="auto"/>
        <w:bottom w:val="none" w:sz="0" w:space="0" w:color="auto"/>
        <w:right w:val="none" w:sz="0" w:space="0" w:color="auto"/>
      </w:divBdr>
    </w:div>
    <w:div w:id="1916431098">
      <w:bodyDiv w:val="1"/>
      <w:marLeft w:val="0"/>
      <w:marRight w:val="0"/>
      <w:marTop w:val="0"/>
      <w:marBottom w:val="0"/>
      <w:divBdr>
        <w:top w:val="none" w:sz="0" w:space="0" w:color="auto"/>
        <w:left w:val="none" w:sz="0" w:space="0" w:color="auto"/>
        <w:bottom w:val="none" w:sz="0" w:space="0" w:color="auto"/>
        <w:right w:val="none" w:sz="0" w:space="0" w:color="auto"/>
      </w:divBdr>
    </w:div>
    <w:div w:id="19748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seitz01\Documents\Arbeitsordner%20Laptop\EAWG%20summary%20of%20meetings%20and%20comparison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US" sz="1600"/>
              <a:t>No of coordinated comparisons</a:t>
            </a:r>
          </a:p>
          <a:p>
            <a:pPr>
              <a:defRPr sz="1600"/>
            </a:pPr>
            <a:r>
              <a:rPr lang="en-US" sz="1600"/>
              <a:t> by technical area</a:t>
            </a:r>
          </a:p>
        </c:rich>
      </c:tx>
      <c:layout>
        <c:manualLayout>
          <c:xMode val="edge"/>
          <c:yMode val="edge"/>
          <c:x val="0.16398541091454477"/>
          <c:y val="2.4413210291388737E-2"/>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010312743604594"/>
          <c:y val="0.20926293946536936"/>
          <c:w val="0.82010817249426937"/>
          <c:h val="0.66658589949345504"/>
        </c:manualLayout>
      </c:layout>
      <c:barChart>
        <c:barDir val="col"/>
        <c:grouping val="clustered"/>
        <c:varyColors val="0"/>
        <c:ser>
          <c:idx val="0"/>
          <c:order val="0"/>
          <c:tx>
            <c:v>KC&amp;SC</c:v>
          </c:tx>
          <c:spPr>
            <a:solidFill>
              <a:schemeClr val="accent1"/>
            </a:solidFill>
            <a:ln>
              <a:noFill/>
            </a:ln>
            <a:effectLst/>
          </c:spPr>
          <c:invertIfNegative val="0"/>
          <c:cat>
            <c:strRef>
              <c:f>'comparison summary'!$U$4:$U$6</c:f>
              <c:strCache>
                <c:ptCount val="3"/>
                <c:pt idx="0">
                  <c:v>pH</c:v>
                </c:pt>
                <c:pt idx="1">
                  <c:v>Coulo</c:v>
                </c:pt>
                <c:pt idx="2">
                  <c:v>EC</c:v>
                </c:pt>
              </c:strCache>
            </c:strRef>
          </c:cat>
          <c:val>
            <c:numRef>
              <c:f>'comparison summary'!$V$4:$V$6</c:f>
              <c:numCache>
                <c:formatCode>General</c:formatCode>
                <c:ptCount val="3"/>
                <c:pt idx="0">
                  <c:v>28</c:v>
                </c:pt>
                <c:pt idx="1">
                  <c:v>25</c:v>
                </c:pt>
                <c:pt idx="2">
                  <c:v>11</c:v>
                </c:pt>
              </c:numCache>
            </c:numRef>
          </c:val>
          <c:extLst>
            <c:ext xmlns:c16="http://schemas.microsoft.com/office/drawing/2014/chart" uri="{C3380CC4-5D6E-409C-BE32-E72D297353CC}">
              <c16:uniqueId val="{00000000-638A-432D-93F8-3923F1B92391}"/>
            </c:ext>
          </c:extLst>
        </c:ser>
        <c:ser>
          <c:idx val="1"/>
          <c:order val="1"/>
          <c:tx>
            <c:v>PS</c:v>
          </c:tx>
          <c:spPr>
            <a:solidFill>
              <a:schemeClr val="accent2"/>
            </a:solidFill>
            <a:ln>
              <a:noFill/>
            </a:ln>
            <a:effectLst/>
          </c:spPr>
          <c:invertIfNegative val="0"/>
          <c:val>
            <c:numRef>
              <c:f>'comparison summary'!$W$4:$W$6</c:f>
              <c:numCache>
                <c:formatCode>General</c:formatCode>
                <c:ptCount val="3"/>
                <c:pt idx="0">
                  <c:v>9</c:v>
                </c:pt>
                <c:pt idx="1">
                  <c:v>7</c:v>
                </c:pt>
                <c:pt idx="2">
                  <c:v>8</c:v>
                </c:pt>
              </c:numCache>
            </c:numRef>
          </c:val>
          <c:extLst>
            <c:ext xmlns:c16="http://schemas.microsoft.com/office/drawing/2014/chart" uri="{C3380CC4-5D6E-409C-BE32-E72D297353CC}">
              <c16:uniqueId val="{00000001-638A-432D-93F8-3923F1B92391}"/>
            </c:ext>
          </c:extLst>
        </c:ser>
        <c:dLbls>
          <c:showLegendKey val="0"/>
          <c:showVal val="0"/>
          <c:showCatName val="0"/>
          <c:showSerName val="0"/>
          <c:showPercent val="0"/>
          <c:showBubbleSize val="0"/>
        </c:dLbls>
        <c:gapWidth val="219"/>
        <c:overlap val="-27"/>
        <c:axId val="579164328"/>
        <c:axId val="579163344"/>
      </c:barChart>
      <c:catAx>
        <c:axId val="579164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579163344"/>
        <c:crosses val="autoZero"/>
        <c:auto val="1"/>
        <c:lblAlgn val="ctr"/>
        <c:lblOffset val="100"/>
        <c:noMultiLvlLbl val="0"/>
      </c:catAx>
      <c:valAx>
        <c:axId val="579163344"/>
        <c:scaling>
          <c:orientation val="minMax"/>
        </c:scaling>
        <c:delete val="0"/>
        <c:axPos val="l"/>
        <c:majorGridlines>
          <c:spPr>
            <a:ln w="12700"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579164328"/>
        <c:crosses val="autoZero"/>
        <c:crossBetween val="between"/>
      </c:valAx>
      <c:spPr>
        <a:noFill/>
        <a:ln>
          <a:solidFill>
            <a:schemeClr val="tx1"/>
          </a:solidFill>
        </a:ln>
        <a:effectLst/>
      </c:spPr>
    </c:plotArea>
    <c:legend>
      <c:legendPos val="r"/>
      <c:layout>
        <c:manualLayout>
          <c:xMode val="edge"/>
          <c:yMode val="edge"/>
          <c:x val="0.68679960459488021"/>
          <c:y val="0.2500524934383202"/>
          <c:w val="0.28203156423628867"/>
          <c:h val="0.19364501312335958"/>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600"/>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0.25195</cdr:x>
      <cdr:y>0.27804</cdr:y>
    </cdr:from>
    <cdr:to>
      <cdr:x>0.36104</cdr:x>
      <cdr:y>0.35919</cdr:y>
    </cdr:to>
    <cdr:sp macro="" textlink="">
      <cdr:nvSpPr>
        <cdr:cNvPr id="2" name="Textfeld 1">
          <a:extLst xmlns:a="http://schemas.openxmlformats.org/drawingml/2006/main">
            <a:ext uri="{FF2B5EF4-FFF2-40B4-BE49-F238E27FC236}">
              <a16:creationId xmlns:a16="http://schemas.microsoft.com/office/drawing/2014/main" id="{1B726D13-26A3-87AB-A369-40F53CA470A8}"/>
            </a:ext>
          </a:extLst>
        </cdr:cNvPr>
        <cdr:cNvSpPr txBox="1"/>
      </cdr:nvSpPr>
      <cdr:spPr>
        <a:xfrm xmlns:a="http://schemas.openxmlformats.org/drawingml/2006/main">
          <a:off x="923924" y="1101690"/>
          <a:ext cx="400046" cy="3215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a:t>28</a:t>
          </a:r>
        </a:p>
      </cdr:txBody>
    </cdr:sp>
  </cdr:relSizeAnchor>
  <cdr:relSizeAnchor xmlns:cdr="http://schemas.openxmlformats.org/drawingml/2006/chartDrawing">
    <cdr:from>
      <cdr:x>0.81905</cdr:x>
      <cdr:y>0.65794</cdr:y>
    </cdr:from>
    <cdr:to>
      <cdr:x>0.92814</cdr:x>
      <cdr:y>0.73909</cdr:y>
    </cdr:to>
    <cdr:sp macro="" textlink="">
      <cdr:nvSpPr>
        <cdr:cNvPr id="3" name="Textfeld 1">
          <a:extLst xmlns:a="http://schemas.openxmlformats.org/drawingml/2006/main">
            <a:ext uri="{FF2B5EF4-FFF2-40B4-BE49-F238E27FC236}">
              <a16:creationId xmlns:a16="http://schemas.microsoft.com/office/drawing/2014/main" id="{F428E104-CFF4-9758-847B-D247EF99C30F}"/>
            </a:ext>
          </a:extLst>
        </cdr:cNvPr>
        <cdr:cNvSpPr txBox="1"/>
      </cdr:nvSpPr>
      <cdr:spPr>
        <a:xfrm xmlns:a="http://schemas.openxmlformats.org/drawingml/2006/main">
          <a:off x="3003550" y="2393950"/>
          <a:ext cx="400050" cy="2952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a:t>8</a:t>
          </a:r>
        </a:p>
      </cdr:txBody>
    </cdr:sp>
  </cdr:relSizeAnchor>
  <cdr:relSizeAnchor xmlns:cdr="http://schemas.openxmlformats.org/drawingml/2006/chartDrawing">
    <cdr:from>
      <cdr:x>0.55411</cdr:x>
      <cdr:y>0.67365</cdr:y>
    </cdr:from>
    <cdr:to>
      <cdr:x>0.6632</cdr:x>
      <cdr:y>0.7548</cdr:y>
    </cdr:to>
    <cdr:sp macro="" textlink="">
      <cdr:nvSpPr>
        <cdr:cNvPr id="4" name="Textfeld 1">
          <a:extLst xmlns:a="http://schemas.openxmlformats.org/drawingml/2006/main">
            <a:ext uri="{FF2B5EF4-FFF2-40B4-BE49-F238E27FC236}">
              <a16:creationId xmlns:a16="http://schemas.microsoft.com/office/drawing/2014/main" id="{F428E104-CFF4-9758-847B-D247EF99C30F}"/>
            </a:ext>
          </a:extLst>
        </cdr:cNvPr>
        <cdr:cNvSpPr txBox="1"/>
      </cdr:nvSpPr>
      <cdr:spPr>
        <a:xfrm xmlns:a="http://schemas.openxmlformats.org/drawingml/2006/main">
          <a:off x="2032000" y="2451100"/>
          <a:ext cx="400050" cy="2952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a:t>7</a:t>
          </a:r>
        </a:p>
      </cdr:txBody>
    </cdr:sp>
  </cdr:relSizeAnchor>
  <cdr:relSizeAnchor xmlns:cdr="http://schemas.openxmlformats.org/drawingml/2006/chartDrawing">
    <cdr:from>
      <cdr:x>0.28658</cdr:x>
      <cdr:y>0.62407</cdr:y>
    </cdr:from>
    <cdr:to>
      <cdr:x>0.39567</cdr:x>
      <cdr:y>0.70522</cdr:y>
    </cdr:to>
    <cdr:sp macro="" textlink="">
      <cdr:nvSpPr>
        <cdr:cNvPr id="5" name="Textfeld 1">
          <a:extLst xmlns:a="http://schemas.openxmlformats.org/drawingml/2006/main">
            <a:ext uri="{FF2B5EF4-FFF2-40B4-BE49-F238E27FC236}">
              <a16:creationId xmlns:a16="http://schemas.microsoft.com/office/drawing/2014/main" id="{F428E104-CFF4-9758-847B-D247EF99C30F}"/>
            </a:ext>
          </a:extLst>
        </cdr:cNvPr>
        <cdr:cNvSpPr txBox="1"/>
      </cdr:nvSpPr>
      <cdr:spPr>
        <a:xfrm xmlns:a="http://schemas.openxmlformats.org/drawingml/2006/main">
          <a:off x="1050933" y="2472815"/>
          <a:ext cx="400046" cy="32154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a:t>9</a:t>
          </a:r>
        </a:p>
      </cdr:txBody>
    </cdr:sp>
  </cdr:relSizeAnchor>
  <cdr:relSizeAnchor xmlns:cdr="http://schemas.openxmlformats.org/drawingml/2006/chartDrawing">
    <cdr:from>
      <cdr:x>0.74113</cdr:x>
      <cdr:y>0.57941</cdr:y>
    </cdr:from>
    <cdr:to>
      <cdr:x>0.85022</cdr:x>
      <cdr:y>0.66056</cdr:y>
    </cdr:to>
    <cdr:sp macro="" textlink="">
      <cdr:nvSpPr>
        <cdr:cNvPr id="6" name="Textfeld 1">
          <a:extLst xmlns:a="http://schemas.openxmlformats.org/drawingml/2006/main">
            <a:ext uri="{FF2B5EF4-FFF2-40B4-BE49-F238E27FC236}">
              <a16:creationId xmlns:a16="http://schemas.microsoft.com/office/drawing/2014/main" id="{F428E104-CFF4-9758-847B-D247EF99C30F}"/>
            </a:ext>
          </a:extLst>
        </cdr:cNvPr>
        <cdr:cNvSpPr txBox="1"/>
      </cdr:nvSpPr>
      <cdr:spPr>
        <a:xfrm xmlns:a="http://schemas.openxmlformats.org/drawingml/2006/main">
          <a:off x="2717800" y="2108200"/>
          <a:ext cx="400050" cy="2952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a:t>11</a:t>
          </a:r>
        </a:p>
      </cdr:txBody>
    </cdr:sp>
  </cdr:relSizeAnchor>
  <cdr:relSizeAnchor xmlns:cdr="http://schemas.openxmlformats.org/drawingml/2006/chartDrawing">
    <cdr:from>
      <cdr:x>0.4658</cdr:x>
      <cdr:y>0.27765</cdr:y>
    </cdr:from>
    <cdr:to>
      <cdr:x>0.57489</cdr:x>
      <cdr:y>0.35881</cdr:y>
    </cdr:to>
    <cdr:sp macro="" textlink="">
      <cdr:nvSpPr>
        <cdr:cNvPr id="7" name="Textfeld 1">
          <a:extLst xmlns:a="http://schemas.openxmlformats.org/drawingml/2006/main">
            <a:ext uri="{FF2B5EF4-FFF2-40B4-BE49-F238E27FC236}">
              <a16:creationId xmlns:a16="http://schemas.microsoft.com/office/drawing/2014/main" id="{F428E104-CFF4-9758-847B-D247EF99C30F}"/>
            </a:ext>
          </a:extLst>
        </cdr:cNvPr>
        <cdr:cNvSpPr txBox="1"/>
      </cdr:nvSpPr>
      <cdr:spPr>
        <a:xfrm xmlns:a="http://schemas.openxmlformats.org/drawingml/2006/main">
          <a:off x="1708137" y="1100151"/>
          <a:ext cx="400047" cy="32158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a:t>25</a:t>
          </a:r>
        </a:p>
      </cdr:txBody>
    </cdr:sp>
  </cdr:relSizeAnchor>
</c:userShape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76EB8-92A7-42F5-9A77-1D979B26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4513</Words>
  <Characters>28439</Characters>
  <Application>Microsoft Office Word</Application>
  <DocSecurity>0</DocSecurity>
  <Lines>236</Lines>
  <Paragraphs>65</Paragraphs>
  <ScaleCrop>false</ScaleCrop>
  <HeadingPairs>
    <vt:vector size="8" baseType="variant">
      <vt:variant>
        <vt:lpstr>Titel</vt:lpstr>
      </vt:variant>
      <vt:variant>
        <vt:i4>1</vt:i4>
      </vt:variant>
      <vt:variant>
        <vt:lpstr>Title</vt:lpstr>
      </vt:variant>
      <vt:variant>
        <vt:i4>1</vt:i4>
      </vt:variant>
      <vt:variant>
        <vt:lpstr>Название</vt:lpstr>
      </vt:variant>
      <vt:variant>
        <vt:i4>1</vt:i4>
      </vt:variant>
      <vt:variant>
        <vt:lpstr>Názov</vt:lpstr>
      </vt:variant>
      <vt:variant>
        <vt:i4>1</vt:i4>
      </vt:variant>
    </vt:vector>
  </HeadingPairs>
  <TitlesOfParts>
    <vt:vector size="4" baseType="lpstr">
      <vt:lpstr>Report</vt:lpstr>
      <vt:lpstr>Report</vt:lpstr>
      <vt:lpstr>Report</vt:lpstr>
      <vt:lpstr>Report</vt:lpstr>
    </vt:vector>
  </TitlesOfParts>
  <Company>SMU</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MARIASSY</dc:creator>
  <cp:lastModifiedBy>Steffen Seitz</cp:lastModifiedBy>
  <cp:revision>20</cp:revision>
  <dcterms:created xsi:type="dcterms:W3CDTF">2026-04-01T13:55:00Z</dcterms:created>
  <dcterms:modified xsi:type="dcterms:W3CDTF">2026-04-01T15:18:00Z</dcterms:modified>
</cp:coreProperties>
</file>