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01D" w:rsidRPr="00F22AAC" w:rsidRDefault="00F22AAC" w:rsidP="00973F9D">
      <w:pPr>
        <w:jc w:val="center"/>
        <w:rPr>
          <w:rFonts w:cstheme="minorHAnsi"/>
          <w:b/>
        </w:rPr>
      </w:pPr>
      <w:r w:rsidRPr="00F22AAC">
        <w:rPr>
          <w:rFonts w:cstheme="minorHAnsi"/>
          <w:b/>
        </w:rPr>
        <w:t xml:space="preserve">Statement from the chairman of the CCQM </w:t>
      </w:r>
      <w:r w:rsidR="00041CF1">
        <w:rPr>
          <w:rFonts w:cstheme="minorHAnsi"/>
          <w:b/>
        </w:rPr>
        <w:t>Key Comparison Reference Value</w:t>
      </w:r>
      <w:r w:rsidRPr="00F22AAC">
        <w:rPr>
          <w:rFonts w:cstheme="minorHAnsi"/>
          <w:b/>
        </w:rPr>
        <w:t xml:space="preserve"> </w:t>
      </w:r>
      <w:r w:rsidR="00041CF1">
        <w:rPr>
          <w:rFonts w:cstheme="minorHAnsi"/>
          <w:b/>
        </w:rPr>
        <w:t>Working Group</w:t>
      </w:r>
      <w:r w:rsidR="00B5001D">
        <w:rPr>
          <w:rFonts w:cstheme="minorHAnsi"/>
          <w:b/>
        </w:rPr>
        <w:br/>
        <w:t>April 2012</w:t>
      </w:r>
    </w:p>
    <w:p w:rsidR="006A4938" w:rsidRDefault="006A4938" w:rsidP="00280D35">
      <w:pPr>
        <w:rPr>
          <w:rFonts w:cstheme="minorHAnsi"/>
        </w:rPr>
      </w:pPr>
      <w:r>
        <w:rPr>
          <w:rFonts w:cstheme="minorHAnsi"/>
        </w:rPr>
        <w:t>D</w:t>
      </w:r>
      <w:r w:rsidRPr="00F22AAC">
        <w:rPr>
          <w:rFonts w:cstheme="minorHAnsi"/>
        </w:rPr>
        <w:t>ocumen</w:t>
      </w:r>
      <w:r>
        <w:rPr>
          <w:rFonts w:cstheme="minorHAnsi"/>
        </w:rPr>
        <w:t>t CCQM/09</w:t>
      </w:r>
      <w:r>
        <w:rPr>
          <w:rFonts w:cstheme="minorHAnsi"/>
        </w:rPr>
        <w:noBreakHyphen/>
      </w:r>
      <w:r w:rsidRPr="00F22AAC">
        <w:rPr>
          <w:rFonts w:cstheme="minorHAnsi"/>
        </w:rPr>
        <w:t>03</w:t>
      </w:r>
      <w:r>
        <w:rPr>
          <w:rFonts w:cstheme="minorHAnsi"/>
        </w:rPr>
        <w:t> 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REF _Ref321837207 \r \h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B22DB2">
        <w:rPr>
          <w:rFonts w:cstheme="minorHAnsi"/>
        </w:rPr>
        <w:t>[1]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sets out principles for the treatmen</w:t>
      </w:r>
      <w:r w:rsidR="00AA7EBD">
        <w:rPr>
          <w:rFonts w:cstheme="minorHAnsi"/>
        </w:rPr>
        <w:t>t of key comparison data within </w:t>
      </w:r>
      <w:r>
        <w:rPr>
          <w:rFonts w:cstheme="minorHAnsi"/>
        </w:rPr>
        <w:t xml:space="preserve">CCQM. </w:t>
      </w:r>
      <w:r w:rsidR="00BE4A4A">
        <w:rPr>
          <w:rFonts w:cstheme="minorHAnsi"/>
        </w:rPr>
        <w:t xml:space="preserve"> </w:t>
      </w:r>
      <w:r>
        <w:rPr>
          <w:rFonts w:cstheme="minorHAnsi"/>
        </w:rPr>
        <w:t xml:space="preserve">Document CCQM/10-03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REF _Ref321837408 \r \h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B22DB2">
        <w:rPr>
          <w:rFonts w:cstheme="minorHAnsi"/>
        </w:rPr>
        <w:t>[2]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implements these principles by providing a general procedure and a range o</w:t>
      </w:r>
      <w:r w:rsidR="004F10B9">
        <w:rPr>
          <w:rFonts w:cstheme="minorHAnsi"/>
        </w:rPr>
        <w:t>f estimators for key comparison data</w:t>
      </w:r>
      <w:r>
        <w:rPr>
          <w:rFonts w:cstheme="minorHAnsi"/>
        </w:rPr>
        <w:t xml:space="preserve">. </w:t>
      </w:r>
      <w:r w:rsidR="00006EBA">
        <w:rPr>
          <w:rFonts w:cstheme="minorHAnsi"/>
        </w:rPr>
        <w:t xml:space="preserve"> </w:t>
      </w:r>
      <w:r>
        <w:rPr>
          <w:rFonts w:cstheme="minorHAnsi"/>
        </w:rPr>
        <w:t>Among these estimators, those refer</w:t>
      </w:r>
      <w:r w:rsidR="00AA7EBD">
        <w:rPr>
          <w:rFonts w:cstheme="minorHAnsi"/>
        </w:rPr>
        <w:t>red to in CCQM/10-03 as “excess</w:t>
      </w:r>
      <w:r w:rsidR="00AA7EBD">
        <w:rPr>
          <w:rFonts w:cstheme="minorHAnsi"/>
        </w:rPr>
        <w:noBreakHyphen/>
      </w:r>
      <w:r>
        <w:rPr>
          <w:rFonts w:cstheme="minorHAnsi"/>
        </w:rPr>
        <w:t>variance”</w:t>
      </w:r>
      <w:r w:rsidR="00AA7EBD">
        <w:rPr>
          <w:rFonts w:cstheme="minorHAnsi"/>
        </w:rPr>
        <w:t xml:space="preserve"> </w:t>
      </w:r>
      <w:r>
        <w:rPr>
          <w:rFonts w:cstheme="minorHAnsi"/>
        </w:rPr>
        <w:t xml:space="preserve">procedures are particularly appropriate for situations where the results accepted as technically valid show greater dispersion than can be accounted for by the reported uncertainties and where this </w:t>
      </w:r>
      <w:r w:rsidR="00AA7EBD">
        <w:rPr>
          <w:rFonts w:cstheme="minorHAnsi"/>
        </w:rPr>
        <w:t xml:space="preserve">dispersion </w:t>
      </w:r>
      <w:r>
        <w:rPr>
          <w:rFonts w:cstheme="minorHAnsi"/>
        </w:rPr>
        <w:t xml:space="preserve">does not arise from a small number of obviously discrepant observations. </w:t>
      </w:r>
      <w:r w:rsidR="00006EBA">
        <w:rPr>
          <w:rFonts w:cstheme="minorHAnsi"/>
        </w:rPr>
        <w:t xml:space="preserve"> </w:t>
      </w:r>
      <w:r>
        <w:rPr>
          <w:rFonts w:cstheme="minorHAnsi"/>
        </w:rPr>
        <w:t>These estimators operate by calculating an addit</w:t>
      </w:r>
      <w:r w:rsidR="000F3804">
        <w:rPr>
          <w:rFonts w:cstheme="minorHAnsi"/>
        </w:rPr>
        <w:t>ional “between-laboratory”</w:t>
      </w:r>
      <w:r>
        <w:rPr>
          <w:rFonts w:cstheme="minorHAnsi"/>
        </w:rPr>
        <w:t xml:space="preserve"> variance </w:t>
      </w:r>
      <w:r w:rsidR="00AA7EBD">
        <w:rPr>
          <w:rFonts w:cstheme="minorHAnsi"/>
        </w:rPr>
        <w:t>that</w:t>
      </w:r>
      <w:r>
        <w:rPr>
          <w:rFonts w:cstheme="minorHAnsi"/>
        </w:rPr>
        <w:t xml:space="preserve"> augments t</w:t>
      </w:r>
      <w:r w:rsidRPr="00F22AAC">
        <w:rPr>
          <w:rFonts w:cstheme="minorHAnsi"/>
        </w:rPr>
        <w:t>he provided NMI variances (squared standard uncertainties)</w:t>
      </w:r>
      <w:r>
        <w:rPr>
          <w:rFonts w:cstheme="minorHAnsi"/>
        </w:rPr>
        <w:t xml:space="preserve">.  </w:t>
      </w:r>
      <w:r w:rsidRPr="00F22AAC">
        <w:rPr>
          <w:rFonts w:cstheme="minorHAnsi"/>
        </w:rPr>
        <w:t xml:space="preserve">This </w:t>
      </w:r>
      <w:r>
        <w:rPr>
          <w:rFonts w:cstheme="minorHAnsi"/>
        </w:rPr>
        <w:t xml:space="preserve">additional </w:t>
      </w:r>
      <w:r w:rsidRPr="00F22AAC">
        <w:rPr>
          <w:rFonts w:cstheme="minorHAnsi"/>
        </w:rPr>
        <w:t xml:space="preserve">variance </w:t>
      </w:r>
      <w:r>
        <w:rPr>
          <w:rFonts w:cstheme="minorHAnsi"/>
        </w:rPr>
        <w:t>is</w:t>
      </w:r>
      <w:r w:rsidRPr="00F22AAC">
        <w:rPr>
          <w:rFonts w:cstheme="minorHAnsi"/>
        </w:rPr>
        <w:t xml:space="preserve"> chosen such that the resulting data </w:t>
      </w:r>
      <w:r>
        <w:rPr>
          <w:rFonts w:cstheme="minorHAnsi"/>
        </w:rPr>
        <w:t>are</w:t>
      </w:r>
      <w:r w:rsidRPr="00F22AAC">
        <w:rPr>
          <w:rFonts w:cstheme="minorHAnsi"/>
        </w:rPr>
        <w:t xml:space="preserve"> mutually consistent.</w:t>
      </w:r>
      <w:r>
        <w:rPr>
          <w:rFonts w:cstheme="minorHAnsi"/>
        </w:rPr>
        <w:t xml:space="preserve"> </w:t>
      </w:r>
      <w:r w:rsidR="00CC1342">
        <w:rPr>
          <w:rFonts w:cstheme="minorHAnsi"/>
        </w:rPr>
        <w:t xml:space="preserve"> </w:t>
      </w:r>
      <w:r>
        <w:rPr>
          <w:rFonts w:cstheme="minorHAnsi"/>
        </w:rPr>
        <w:t xml:space="preserve">Where laboratories agree well, the procedure tends to the simple uncertainty-weighted mean; where the laboratories agree very poorly, the procedure tends to the </w:t>
      </w:r>
      <w:proofErr w:type="spellStart"/>
      <w:r>
        <w:rPr>
          <w:rFonts w:cstheme="minorHAnsi"/>
        </w:rPr>
        <w:t>unweighted</w:t>
      </w:r>
      <w:proofErr w:type="spellEnd"/>
      <w:r>
        <w:rPr>
          <w:rFonts w:cstheme="minorHAnsi"/>
        </w:rPr>
        <w:t xml:space="preserve"> mean.</w:t>
      </w:r>
    </w:p>
    <w:p w:rsidR="00F22AAC" w:rsidRPr="00F22AAC" w:rsidRDefault="00F22AAC" w:rsidP="00280D35">
      <w:pPr>
        <w:rPr>
          <w:rFonts w:cstheme="minorHAnsi"/>
        </w:rPr>
      </w:pPr>
      <w:r w:rsidRPr="00F22AAC">
        <w:rPr>
          <w:rFonts w:cstheme="minorHAnsi"/>
        </w:rPr>
        <w:t>A particular</w:t>
      </w:r>
      <w:r w:rsidR="006A4938">
        <w:rPr>
          <w:rFonts w:cstheme="minorHAnsi"/>
        </w:rPr>
        <w:t>ly straightforward</w:t>
      </w:r>
      <w:r w:rsidRPr="00F22AAC">
        <w:rPr>
          <w:rFonts w:cstheme="minorHAnsi"/>
        </w:rPr>
        <w:t xml:space="preserve"> excess-variance approach </w:t>
      </w:r>
      <w:r w:rsidR="00AA7EBD">
        <w:rPr>
          <w:rFonts w:cstheme="minorHAnsi"/>
        </w:rPr>
        <w:t>–</w:t>
      </w:r>
      <w:r w:rsidR="006A4938">
        <w:rPr>
          <w:rFonts w:cstheme="minorHAnsi"/>
        </w:rPr>
        <w:t xml:space="preserve"> the DerSimonian-Laird method </w:t>
      </w:r>
      <w:r w:rsidR="00AA7EBD">
        <w:rPr>
          <w:rFonts w:cstheme="minorHAnsi"/>
        </w:rPr>
        <w:t>–</w:t>
      </w:r>
      <w:r w:rsidR="006A4938">
        <w:rPr>
          <w:rFonts w:cstheme="minorHAnsi"/>
        </w:rPr>
        <w:t xml:space="preserve"> </w:t>
      </w:r>
      <w:r w:rsidRPr="00F22AAC">
        <w:rPr>
          <w:rFonts w:cstheme="minorHAnsi"/>
        </w:rPr>
        <w:t xml:space="preserve">was presented at the </w:t>
      </w:r>
      <w:r w:rsidR="00CC1342" w:rsidRPr="00F22AAC">
        <w:rPr>
          <w:rFonts w:cstheme="minorHAnsi"/>
        </w:rPr>
        <w:t xml:space="preserve">CCQM </w:t>
      </w:r>
      <w:r w:rsidRPr="00F22AAC">
        <w:rPr>
          <w:rFonts w:cstheme="minorHAnsi"/>
        </w:rPr>
        <w:t>plenary meeting in April 2011</w:t>
      </w:r>
      <w:r w:rsidR="006A4938">
        <w:rPr>
          <w:rFonts w:cstheme="minorHAnsi"/>
        </w:rPr>
        <w:t xml:space="preserve"> in Document CCQM/11-18 </w:t>
      </w:r>
      <w:r w:rsidR="006A4938">
        <w:rPr>
          <w:rFonts w:cstheme="minorHAnsi"/>
        </w:rPr>
        <w:fldChar w:fldCharType="begin"/>
      </w:r>
      <w:r w:rsidR="006A4938">
        <w:rPr>
          <w:rFonts w:cstheme="minorHAnsi"/>
        </w:rPr>
        <w:instrText xml:space="preserve"> REF _Ref321837182 \r \h </w:instrText>
      </w:r>
      <w:r w:rsidR="006A4938">
        <w:rPr>
          <w:rFonts w:cstheme="minorHAnsi"/>
        </w:rPr>
      </w:r>
      <w:r w:rsidR="006A4938">
        <w:rPr>
          <w:rFonts w:cstheme="minorHAnsi"/>
        </w:rPr>
        <w:fldChar w:fldCharType="separate"/>
      </w:r>
      <w:r w:rsidR="00B22DB2">
        <w:rPr>
          <w:rFonts w:cstheme="minorHAnsi"/>
        </w:rPr>
        <w:t>[3]</w:t>
      </w:r>
      <w:r w:rsidR="006A4938">
        <w:rPr>
          <w:rFonts w:cstheme="minorHAnsi"/>
        </w:rPr>
        <w:fldChar w:fldCharType="end"/>
      </w:r>
      <w:r w:rsidRPr="00F22AAC">
        <w:rPr>
          <w:rFonts w:cstheme="minorHAnsi"/>
        </w:rPr>
        <w:t>.  In the presentation (and in CCQM/11-18</w:t>
      </w:r>
      <w:r w:rsidR="00BC43AF">
        <w:rPr>
          <w:rFonts w:cstheme="minorHAnsi"/>
        </w:rPr>
        <w:t xml:space="preserve"> </w:t>
      </w:r>
      <w:r w:rsidR="00117172">
        <w:rPr>
          <w:rFonts w:cstheme="minorHAnsi"/>
        </w:rPr>
        <w:fldChar w:fldCharType="begin"/>
      </w:r>
      <w:r w:rsidR="00BC43AF">
        <w:rPr>
          <w:rFonts w:cstheme="minorHAnsi"/>
        </w:rPr>
        <w:instrText xml:space="preserve"> REF _Ref321837182 \r \h </w:instrText>
      </w:r>
      <w:r w:rsidR="00117172">
        <w:rPr>
          <w:rFonts w:cstheme="minorHAnsi"/>
        </w:rPr>
      </w:r>
      <w:r w:rsidR="00117172">
        <w:rPr>
          <w:rFonts w:cstheme="minorHAnsi"/>
        </w:rPr>
        <w:fldChar w:fldCharType="separate"/>
      </w:r>
      <w:r w:rsidR="00B22DB2">
        <w:rPr>
          <w:rFonts w:cstheme="minorHAnsi"/>
        </w:rPr>
        <w:t>[3]</w:t>
      </w:r>
      <w:r w:rsidR="00117172">
        <w:rPr>
          <w:rFonts w:cstheme="minorHAnsi"/>
        </w:rPr>
        <w:fldChar w:fldCharType="end"/>
      </w:r>
      <w:r w:rsidRPr="00F22AAC">
        <w:rPr>
          <w:rFonts w:cstheme="minorHAnsi"/>
        </w:rPr>
        <w:t>) it was pointed out that a</w:t>
      </w:r>
      <w:r w:rsidR="00020474">
        <w:rPr>
          <w:rFonts w:cstheme="minorHAnsi"/>
        </w:rPr>
        <w:t>n undesirable</w:t>
      </w:r>
      <w:r w:rsidRPr="00F22AAC">
        <w:rPr>
          <w:rFonts w:cstheme="minorHAnsi"/>
        </w:rPr>
        <w:t xml:space="preserve"> consequence of ensuring data consistency is that the </w:t>
      </w:r>
      <w:r w:rsidR="00CC1342">
        <w:rPr>
          <w:rFonts w:cstheme="minorHAnsi"/>
        </w:rPr>
        <w:t>uncertainty</w:t>
      </w:r>
      <w:r w:rsidR="006A4938">
        <w:rPr>
          <w:rFonts w:cstheme="minorHAnsi"/>
        </w:rPr>
        <w:t xml:space="preserve"> </w:t>
      </w:r>
      <w:r w:rsidR="00CC1342">
        <w:rPr>
          <w:rFonts w:cstheme="minorHAnsi"/>
        </w:rPr>
        <w:t>components of</w:t>
      </w:r>
      <w:r w:rsidR="006A4938">
        <w:rPr>
          <w:rFonts w:cstheme="minorHAnsi"/>
        </w:rPr>
        <w:t xml:space="preserve"> the calculated degrees of equivalence </w:t>
      </w:r>
      <w:r w:rsidR="00AA7EBD">
        <w:rPr>
          <w:rFonts w:cstheme="minorHAnsi"/>
        </w:rPr>
        <w:t>(</w:t>
      </w:r>
      <w:r w:rsidRPr="00F22AAC">
        <w:rPr>
          <w:rFonts w:cstheme="minorHAnsi"/>
        </w:rPr>
        <w:t>DoEs</w:t>
      </w:r>
      <w:r w:rsidR="00AA7EBD">
        <w:rPr>
          <w:rFonts w:cstheme="minorHAnsi"/>
        </w:rPr>
        <w:t>)</w:t>
      </w:r>
      <w:r w:rsidRPr="00F22AAC">
        <w:rPr>
          <w:rFonts w:cstheme="minorHAnsi"/>
        </w:rPr>
        <w:t xml:space="preserve"> </w:t>
      </w:r>
      <w:r w:rsidR="00AF7DB9">
        <w:rPr>
          <w:rFonts w:cstheme="minorHAnsi"/>
        </w:rPr>
        <w:t>would often</w:t>
      </w:r>
      <w:r w:rsidRPr="00F22AAC">
        <w:rPr>
          <w:rFonts w:cstheme="minorHAnsi"/>
        </w:rPr>
        <w:t xml:space="preserve"> be similar to each other (in cases of extreme inconsistency they </w:t>
      </w:r>
      <w:r w:rsidR="00FB1E18">
        <w:rPr>
          <w:rFonts w:cstheme="minorHAnsi"/>
        </w:rPr>
        <w:t>would be</w:t>
      </w:r>
      <w:r w:rsidRPr="00F22AAC">
        <w:rPr>
          <w:rFonts w:cstheme="minorHAnsi"/>
        </w:rPr>
        <w:t xml:space="preserve"> </w:t>
      </w:r>
      <w:r w:rsidR="00B9344A">
        <w:rPr>
          <w:rFonts w:cstheme="minorHAnsi"/>
        </w:rPr>
        <w:t>almost</w:t>
      </w:r>
      <w:r w:rsidRPr="00F22AAC">
        <w:rPr>
          <w:rFonts w:cstheme="minorHAnsi"/>
        </w:rPr>
        <w:t xml:space="preserve"> identical).  In such situations, the DoEs </w:t>
      </w:r>
      <w:r w:rsidR="00020474">
        <w:rPr>
          <w:rFonts w:cstheme="minorHAnsi"/>
        </w:rPr>
        <w:t>would</w:t>
      </w:r>
      <w:r w:rsidRPr="00F22AAC">
        <w:rPr>
          <w:rFonts w:cstheme="minorHAnsi"/>
        </w:rPr>
        <w:t xml:space="preserve"> not </w:t>
      </w:r>
      <w:r w:rsidR="00020474">
        <w:rPr>
          <w:rFonts w:cstheme="minorHAnsi"/>
        </w:rPr>
        <w:t xml:space="preserve">be </w:t>
      </w:r>
      <w:r w:rsidRPr="00F22AAC">
        <w:rPr>
          <w:rFonts w:cstheme="minorHAnsi"/>
        </w:rPr>
        <w:t>discriminatory.</w:t>
      </w:r>
    </w:p>
    <w:p w:rsidR="006A4938" w:rsidRDefault="009E53F9" w:rsidP="006A4938">
      <w:pPr>
        <w:rPr>
          <w:rFonts w:cstheme="minorHAnsi"/>
        </w:rPr>
      </w:pPr>
      <w:r>
        <w:t>I</w:t>
      </w:r>
      <w:r w:rsidRPr="00F22AAC">
        <w:t>n April 2011</w:t>
      </w:r>
      <w:r>
        <w:t xml:space="preserve">, </w:t>
      </w:r>
      <w:r w:rsidR="006A4938">
        <w:t xml:space="preserve">therefore, </w:t>
      </w:r>
      <w:r w:rsidR="00F22AAC" w:rsidRPr="00F22AAC">
        <w:t xml:space="preserve">Dr Kaarls invited all WGs to consider the application of </w:t>
      </w:r>
      <w:r w:rsidR="006A4938" w:rsidRPr="00F22AAC">
        <w:rPr>
          <w:rFonts w:cstheme="minorHAnsi"/>
        </w:rPr>
        <w:t>CCQM/11-18</w:t>
      </w:r>
      <w:r w:rsidR="006A4938">
        <w:rPr>
          <w:rFonts w:cstheme="minorHAnsi"/>
        </w:rPr>
        <w:t xml:space="preserve"> </w:t>
      </w:r>
      <w:r w:rsidR="006A4938">
        <w:rPr>
          <w:rFonts w:cstheme="minorHAnsi"/>
        </w:rPr>
        <w:fldChar w:fldCharType="begin"/>
      </w:r>
      <w:r w:rsidR="006A4938">
        <w:rPr>
          <w:rFonts w:cstheme="minorHAnsi"/>
        </w:rPr>
        <w:instrText xml:space="preserve"> REF _Ref321837182 \r \h </w:instrText>
      </w:r>
      <w:r w:rsidR="006A4938">
        <w:rPr>
          <w:rFonts w:cstheme="minorHAnsi"/>
        </w:rPr>
      </w:r>
      <w:r w:rsidR="006A4938">
        <w:rPr>
          <w:rFonts w:cstheme="minorHAnsi"/>
        </w:rPr>
        <w:fldChar w:fldCharType="separate"/>
      </w:r>
      <w:r w:rsidR="00B22DB2">
        <w:rPr>
          <w:rFonts w:cstheme="minorHAnsi"/>
        </w:rPr>
        <w:t>[3]</w:t>
      </w:r>
      <w:r w:rsidR="006A4938">
        <w:rPr>
          <w:rFonts w:cstheme="minorHAnsi"/>
        </w:rPr>
        <w:fldChar w:fldCharType="end"/>
      </w:r>
      <w:r w:rsidR="006A4938">
        <w:rPr>
          <w:rFonts w:cstheme="minorHAnsi"/>
        </w:rPr>
        <w:t xml:space="preserve"> </w:t>
      </w:r>
      <w:r w:rsidR="00F22AAC" w:rsidRPr="00F22AAC">
        <w:t>and to test it</w:t>
      </w:r>
      <w:r w:rsidR="00B5001D">
        <w:t xml:space="preserve"> </w:t>
      </w:r>
      <w:r w:rsidR="00F22AAC" w:rsidRPr="00F22AAC">
        <w:t xml:space="preserve">and provide feedback to </w:t>
      </w:r>
      <w:r w:rsidR="004A0DE8">
        <w:t>the KCRV WG</w:t>
      </w:r>
      <w:r w:rsidR="00F22AAC" w:rsidRPr="00F22AAC">
        <w:t>.</w:t>
      </w:r>
      <w:r w:rsidR="00B5001D">
        <w:t xml:space="preserve">  </w:t>
      </w:r>
      <w:r w:rsidR="006A4938">
        <w:t>F</w:t>
      </w:r>
      <w:r w:rsidR="00F22AAC" w:rsidRPr="00F22AAC">
        <w:t>eedback</w:t>
      </w:r>
      <w:r w:rsidR="00B5001D">
        <w:t xml:space="preserve"> </w:t>
      </w:r>
      <w:r w:rsidR="006A4938">
        <w:t xml:space="preserve">has since been </w:t>
      </w:r>
      <w:r w:rsidR="009B2072">
        <w:t xml:space="preserve">received </w:t>
      </w:r>
      <w:r w:rsidR="00B5001D">
        <w:t xml:space="preserve">from </w:t>
      </w:r>
      <w:r w:rsidR="00A30D11">
        <w:t>some</w:t>
      </w:r>
      <w:r w:rsidR="006A4938">
        <w:t>, but not all,</w:t>
      </w:r>
      <w:r w:rsidR="00B5001D">
        <w:t> </w:t>
      </w:r>
      <w:r w:rsidR="00F22AAC" w:rsidRPr="00F22AAC">
        <w:t>WGs</w:t>
      </w:r>
      <w:r w:rsidR="006A4938">
        <w:t xml:space="preserve">.  Comments so far indicate that the particular procedure in </w:t>
      </w:r>
      <w:r w:rsidR="006A4938" w:rsidRPr="00F22AAC">
        <w:rPr>
          <w:rFonts w:cstheme="minorHAnsi"/>
        </w:rPr>
        <w:t>CCQM/11-18</w:t>
      </w:r>
      <w:r w:rsidR="006A4938">
        <w:rPr>
          <w:rFonts w:cstheme="minorHAnsi"/>
        </w:rPr>
        <w:t xml:space="preserve"> </w:t>
      </w:r>
      <w:r w:rsidR="006A4938">
        <w:rPr>
          <w:rFonts w:cstheme="minorHAnsi"/>
        </w:rPr>
        <w:fldChar w:fldCharType="begin"/>
      </w:r>
      <w:r w:rsidR="006A4938">
        <w:rPr>
          <w:rFonts w:cstheme="minorHAnsi"/>
        </w:rPr>
        <w:instrText xml:space="preserve"> REF _Ref321837182 \r \h </w:instrText>
      </w:r>
      <w:r w:rsidR="006A4938">
        <w:rPr>
          <w:rFonts w:cstheme="minorHAnsi"/>
        </w:rPr>
      </w:r>
      <w:r w:rsidR="006A4938">
        <w:rPr>
          <w:rFonts w:cstheme="minorHAnsi"/>
        </w:rPr>
        <w:fldChar w:fldCharType="separate"/>
      </w:r>
      <w:r w:rsidR="00B22DB2">
        <w:rPr>
          <w:rFonts w:cstheme="minorHAnsi"/>
        </w:rPr>
        <w:t>[3]</w:t>
      </w:r>
      <w:r w:rsidR="006A4938">
        <w:rPr>
          <w:rFonts w:cstheme="minorHAnsi"/>
        </w:rPr>
        <w:fldChar w:fldCharType="end"/>
      </w:r>
      <w:r w:rsidR="006A4938">
        <w:rPr>
          <w:rFonts w:cstheme="minorHAnsi"/>
        </w:rPr>
        <w:t xml:space="preserve"> is useful in some circumstances</w:t>
      </w:r>
      <w:r w:rsidR="00674697">
        <w:rPr>
          <w:rFonts w:cstheme="minorHAnsi"/>
        </w:rPr>
        <w:t>,</w:t>
      </w:r>
      <w:r w:rsidR="006A4938">
        <w:rPr>
          <w:rFonts w:cstheme="minorHAnsi"/>
        </w:rPr>
        <w:t xml:space="preserve"> but is unlikely to provide a general solution a</w:t>
      </w:r>
      <w:r w:rsidR="00750704">
        <w:rPr>
          <w:rFonts w:cstheme="minorHAnsi"/>
        </w:rPr>
        <w:t>pplicable to all studies within </w:t>
      </w:r>
      <w:r w:rsidR="006A4938">
        <w:rPr>
          <w:rFonts w:cstheme="minorHAnsi"/>
        </w:rPr>
        <w:t xml:space="preserve">CCQM. </w:t>
      </w:r>
      <w:r w:rsidR="00674697">
        <w:rPr>
          <w:rFonts w:cstheme="minorHAnsi"/>
        </w:rPr>
        <w:t xml:space="preserve"> </w:t>
      </w:r>
      <w:r w:rsidR="006A4938">
        <w:rPr>
          <w:rFonts w:cstheme="minorHAnsi"/>
        </w:rPr>
        <w:t xml:space="preserve">One particular problem noted is that as </w:t>
      </w:r>
      <w:r w:rsidR="00DF09ED">
        <w:rPr>
          <w:rFonts w:cstheme="minorHAnsi"/>
        </w:rPr>
        <w:t>inconsistency</w:t>
      </w:r>
      <w:r w:rsidR="006A4938">
        <w:rPr>
          <w:rFonts w:cstheme="minorHAnsi"/>
        </w:rPr>
        <w:t xml:space="preserve"> increases, </w:t>
      </w:r>
      <w:r w:rsidR="00694DD4">
        <w:rPr>
          <w:rFonts w:cstheme="minorHAnsi"/>
        </w:rPr>
        <w:t>DoE</w:t>
      </w:r>
      <w:r w:rsidR="006A4938">
        <w:rPr>
          <w:rFonts w:cstheme="minorHAnsi"/>
        </w:rPr>
        <w:t xml:space="preserve"> uncert</w:t>
      </w:r>
      <w:r w:rsidR="00AA7EBD">
        <w:rPr>
          <w:rFonts w:cstheme="minorHAnsi"/>
        </w:rPr>
        <w:t xml:space="preserve">ainties </w:t>
      </w:r>
      <w:r w:rsidR="00694DD4">
        <w:rPr>
          <w:rFonts w:cstheme="minorHAnsi"/>
        </w:rPr>
        <w:t>based on</w:t>
      </w:r>
      <w:r w:rsidR="00AA7EBD">
        <w:rPr>
          <w:rFonts w:cstheme="minorHAnsi"/>
        </w:rPr>
        <w:t xml:space="preserve"> </w:t>
      </w:r>
      <w:r w:rsidR="00694DD4">
        <w:rPr>
          <w:rFonts w:cstheme="minorHAnsi"/>
        </w:rPr>
        <w:t>an</w:t>
      </w:r>
      <w:r w:rsidR="00AA7EBD">
        <w:rPr>
          <w:rFonts w:cstheme="minorHAnsi"/>
        </w:rPr>
        <w:t xml:space="preserve"> excess</w:t>
      </w:r>
      <w:r w:rsidR="00AA7EBD">
        <w:rPr>
          <w:rFonts w:cstheme="minorHAnsi"/>
        </w:rPr>
        <w:noBreakHyphen/>
      </w:r>
      <w:r w:rsidR="006A4938">
        <w:rPr>
          <w:rFonts w:cstheme="minorHAnsi"/>
        </w:rPr>
        <w:t xml:space="preserve">variance </w:t>
      </w:r>
      <w:r w:rsidR="00694DD4">
        <w:rPr>
          <w:rFonts w:cstheme="minorHAnsi"/>
        </w:rPr>
        <w:t>approach</w:t>
      </w:r>
      <w:r w:rsidR="006A4938">
        <w:rPr>
          <w:rFonts w:cstheme="minorHAnsi"/>
        </w:rPr>
        <w:t xml:space="preserve"> </w:t>
      </w:r>
      <w:r w:rsidR="00694DD4">
        <w:rPr>
          <w:rFonts w:cstheme="minorHAnsi"/>
        </w:rPr>
        <w:t xml:space="preserve">do indeed </w:t>
      </w:r>
      <w:r w:rsidR="006A4938">
        <w:rPr>
          <w:rFonts w:cstheme="minorHAnsi"/>
        </w:rPr>
        <w:t>increase to a point that fails to discriminate between participants</w:t>
      </w:r>
      <w:r w:rsidR="00694DD4">
        <w:rPr>
          <w:rFonts w:cstheme="minorHAnsi"/>
        </w:rPr>
        <w:t xml:space="preserve">.  Further, the </w:t>
      </w:r>
      <w:r w:rsidR="00AA7EBD">
        <w:rPr>
          <w:rFonts w:cstheme="minorHAnsi"/>
        </w:rPr>
        <w:t>DoE</w:t>
      </w:r>
      <w:r w:rsidR="006A4938">
        <w:rPr>
          <w:rFonts w:cstheme="minorHAnsi"/>
        </w:rPr>
        <w:t xml:space="preserve"> uncertainties</w:t>
      </w:r>
      <w:r w:rsidR="00694DD4">
        <w:rPr>
          <w:rFonts w:cstheme="minorHAnsi"/>
        </w:rPr>
        <w:t xml:space="preserve"> can be very large</w:t>
      </w:r>
      <w:r w:rsidR="006A4938">
        <w:rPr>
          <w:rFonts w:cstheme="minorHAnsi"/>
        </w:rPr>
        <w:t xml:space="preserve">, which could in turn adversely affect subsequent CMC </w:t>
      </w:r>
      <w:r w:rsidR="00AA7EBD">
        <w:rPr>
          <w:rFonts w:cstheme="minorHAnsi"/>
        </w:rPr>
        <w:t>claims</w:t>
      </w:r>
      <w:r w:rsidR="006A4938">
        <w:rPr>
          <w:rFonts w:cstheme="minorHAnsi"/>
        </w:rPr>
        <w:t>.</w:t>
      </w:r>
    </w:p>
    <w:p w:rsidR="006A4938" w:rsidRDefault="006A4938" w:rsidP="00A30D11">
      <w:pPr>
        <w:rPr>
          <w:rFonts w:cstheme="minorHAnsi"/>
        </w:rPr>
      </w:pPr>
      <w:r>
        <w:t>In addition, t</w:t>
      </w:r>
      <w:r w:rsidR="00FB1E18">
        <w:t xml:space="preserve">he </w:t>
      </w:r>
      <w:r w:rsidR="00A30D11">
        <w:t>KCRV </w:t>
      </w:r>
      <w:r w:rsidR="009E53F9">
        <w:t xml:space="preserve">WG </w:t>
      </w:r>
      <w:r>
        <w:t xml:space="preserve">has considered the advice </w:t>
      </w:r>
      <w:r w:rsidR="007A1DEA">
        <w:t xml:space="preserve">in </w:t>
      </w:r>
      <w:r w:rsidR="007A1DEA">
        <w:rPr>
          <w:rFonts w:cstheme="minorHAnsi"/>
        </w:rPr>
        <w:t>CCQM/10</w:t>
      </w:r>
      <w:r w:rsidR="007A1DEA">
        <w:rPr>
          <w:rFonts w:cstheme="minorHAnsi"/>
        </w:rPr>
        <w:noBreakHyphen/>
        <w:t>03 </w:t>
      </w:r>
      <w:r w:rsidR="007A1DEA">
        <w:rPr>
          <w:rFonts w:cstheme="minorHAnsi"/>
        </w:rPr>
        <w:fldChar w:fldCharType="begin"/>
      </w:r>
      <w:r w:rsidR="007A1DEA">
        <w:rPr>
          <w:rFonts w:cstheme="minorHAnsi"/>
        </w:rPr>
        <w:instrText xml:space="preserve"> REF _Ref321837408 \r \h </w:instrText>
      </w:r>
      <w:r w:rsidR="007A1DEA">
        <w:rPr>
          <w:rFonts w:cstheme="minorHAnsi"/>
        </w:rPr>
      </w:r>
      <w:r w:rsidR="007A1DEA">
        <w:rPr>
          <w:rFonts w:cstheme="minorHAnsi"/>
        </w:rPr>
        <w:fldChar w:fldCharType="separate"/>
      </w:r>
      <w:r w:rsidR="00B22DB2">
        <w:rPr>
          <w:rFonts w:cstheme="minorHAnsi"/>
        </w:rPr>
        <w:t>[2]</w:t>
      </w:r>
      <w:r w:rsidR="007A1DEA">
        <w:rPr>
          <w:rFonts w:cstheme="minorHAnsi"/>
        </w:rPr>
        <w:fldChar w:fldCharType="end"/>
      </w:r>
      <w:r w:rsidR="007A1DEA">
        <w:rPr>
          <w:rFonts w:cstheme="minorHAnsi"/>
        </w:rPr>
        <w:t xml:space="preserve"> </w:t>
      </w:r>
      <w:r w:rsidR="00DF09ED">
        <w:t>on reviewing</w:t>
      </w:r>
      <w:r w:rsidR="007A1DEA">
        <w:t xml:space="preserve"> reported </w:t>
      </w:r>
      <w:r>
        <w:t xml:space="preserve">results </w:t>
      </w:r>
      <w:r>
        <w:rPr>
          <w:rFonts w:cstheme="minorHAnsi"/>
        </w:rPr>
        <w:t xml:space="preserve">and feels that there is benefit in strengthening some of that guidance, in particular in relation to examination of participants’ uncertainty budgets. </w:t>
      </w:r>
    </w:p>
    <w:p w:rsidR="006A4938" w:rsidRDefault="00652A8A" w:rsidP="00A30D11">
      <w:pPr>
        <w:rPr>
          <w:rFonts w:cstheme="minorHAnsi"/>
        </w:rPr>
      </w:pPr>
      <w:r>
        <w:t xml:space="preserve">KCRV WG </w:t>
      </w:r>
      <w:r w:rsidR="006A4938">
        <w:rPr>
          <w:rFonts w:cstheme="minorHAnsi"/>
        </w:rPr>
        <w:t>additionally note</w:t>
      </w:r>
      <w:r>
        <w:rPr>
          <w:rFonts w:cstheme="minorHAnsi"/>
        </w:rPr>
        <w:t>s</w:t>
      </w:r>
      <w:r w:rsidR="006A4938">
        <w:rPr>
          <w:rFonts w:cstheme="minorHAnsi"/>
        </w:rPr>
        <w:t xml:space="preserve"> that in the light of CCQM’s requ</w:t>
      </w:r>
      <w:r w:rsidR="00AA7EBD">
        <w:rPr>
          <w:rFonts w:cstheme="minorHAnsi"/>
        </w:rPr>
        <w:t>est for rigorous calculation of DoE</w:t>
      </w:r>
      <w:r w:rsidR="006A4938">
        <w:rPr>
          <w:rFonts w:cstheme="minorHAnsi"/>
        </w:rPr>
        <w:t xml:space="preserve"> uncertainties</w:t>
      </w:r>
      <w:r w:rsidR="00A907C1">
        <w:rPr>
          <w:rFonts w:cstheme="minorHAnsi"/>
        </w:rPr>
        <w:t xml:space="preserve"> that takes </w:t>
      </w:r>
      <w:r w:rsidR="006A4938">
        <w:rPr>
          <w:rFonts w:cstheme="minorHAnsi"/>
        </w:rPr>
        <w:t xml:space="preserve">full account of covariances, it remains essential to use available uncertainty information consistently in both the estimation of the KCRV and in the subsequent calculation of the individual </w:t>
      </w:r>
      <w:r w:rsidR="00AA7EBD">
        <w:rPr>
          <w:rFonts w:cstheme="minorHAnsi"/>
        </w:rPr>
        <w:t>DoEs</w:t>
      </w:r>
      <w:r w:rsidR="006A4938">
        <w:rPr>
          <w:rFonts w:cstheme="minorHAnsi"/>
        </w:rPr>
        <w:t xml:space="preserve"> </w:t>
      </w:r>
      <w:r w:rsidR="00AA7EBD">
        <w:rPr>
          <w:rFonts w:cstheme="minorHAnsi"/>
        </w:rPr>
        <w:t>including</w:t>
      </w:r>
      <w:r w:rsidR="006A4938">
        <w:rPr>
          <w:rFonts w:cstheme="minorHAnsi"/>
        </w:rPr>
        <w:t xml:space="preserve"> their uncertainties.</w:t>
      </w:r>
    </w:p>
    <w:p w:rsidR="006A4938" w:rsidRDefault="006A4938" w:rsidP="00A30D11">
      <w:r>
        <w:t xml:space="preserve">Considering these comments and observations, </w:t>
      </w:r>
      <w:r w:rsidR="00DA0C6B">
        <w:t xml:space="preserve">KCRV WG </w:t>
      </w:r>
      <w:r>
        <w:t>propose</w:t>
      </w:r>
      <w:r w:rsidR="00AA7EBD">
        <w:t>s</w:t>
      </w:r>
      <w:r>
        <w:t xml:space="preserve"> to move forward by further developing the general guidance document presented as </w:t>
      </w:r>
      <w:r>
        <w:rPr>
          <w:rFonts w:cstheme="minorHAnsi"/>
        </w:rPr>
        <w:t xml:space="preserve">CCQM/10-03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REF _Ref321837408 \r \h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B22DB2">
        <w:rPr>
          <w:rFonts w:cstheme="minorHAnsi"/>
        </w:rPr>
        <w:t>[2]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to</w:t>
      </w:r>
      <w:r w:rsidR="00DF09ED">
        <w:rPr>
          <w:rFonts w:cstheme="minorHAnsi"/>
        </w:rPr>
        <w:t>:</w:t>
      </w:r>
    </w:p>
    <w:p w:rsidR="006A4938" w:rsidRPr="00AA7EBD" w:rsidRDefault="006A4938" w:rsidP="00AA7EBD">
      <w:pPr>
        <w:pStyle w:val="ListParagraph"/>
        <w:numPr>
          <w:ilvl w:val="0"/>
          <w:numId w:val="6"/>
        </w:numPr>
        <w:rPr>
          <w:rFonts w:cstheme="minorHAnsi"/>
        </w:rPr>
      </w:pPr>
      <w:r>
        <w:t>Incorporate the DerSimonian-Laird calculation</w:t>
      </w:r>
      <w:r w:rsidRPr="00AA7EBD">
        <w:rPr>
          <w:rFonts w:cstheme="minorHAnsi"/>
        </w:rPr>
        <w:t xml:space="preserve"> with additional guidance on when such </w:t>
      </w:r>
      <w:r w:rsidR="00AA7EBD">
        <w:rPr>
          <w:rFonts w:cstheme="minorHAnsi"/>
        </w:rPr>
        <w:t>procedures are most appropriate</w:t>
      </w:r>
      <w:r w:rsidR="00DF09ED">
        <w:rPr>
          <w:rFonts w:cstheme="minorHAnsi"/>
        </w:rPr>
        <w:t>;</w:t>
      </w:r>
    </w:p>
    <w:p w:rsidR="006A4938" w:rsidRPr="00AA7EBD" w:rsidRDefault="006A4938" w:rsidP="00AA7EBD">
      <w:pPr>
        <w:pStyle w:val="ListParagraph"/>
        <w:numPr>
          <w:ilvl w:val="0"/>
          <w:numId w:val="6"/>
        </w:numPr>
        <w:rPr>
          <w:rFonts w:cstheme="minorHAnsi"/>
        </w:rPr>
      </w:pPr>
      <w:r w:rsidRPr="00AA7EBD">
        <w:rPr>
          <w:rFonts w:cstheme="minorHAnsi"/>
        </w:rPr>
        <w:t>Include, for completeness, additional guidance on the examination of uncertainty budgets during prior screening of the results</w:t>
      </w:r>
      <w:r w:rsidR="00AA7EBD">
        <w:rPr>
          <w:rFonts w:cstheme="minorHAnsi"/>
        </w:rPr>
        <w:t>.</w:t>
      </w:r>
    </w:p>
    <w:p w:rsidR="006A4938" w:rsidRDefault="00B12C42" w:rsidP="00A30D11">
      <w:pPr>
        <w:rPr>
          <w:rFonts w:cstheme="minorHAnsi"/>
        </w:rPr>
      </w:pPr>
      <w:r>
        <w:rPr>
          <w:rFonts w:cstheme="minorHAnsi"/>
        </w:rPr>
        <w:lastRenderedPageBreak/>
        <w:t xml:space="preserve">In relation to the treatment of </w:t>
      </w:r>
      <w:r w:rsidR="00030CC8">
        <w:rPr>
          <w:rFonts w:cstheme="minorHAnsi"/>
        </w:rPr>
        <w:t xml:space="preserve">key </w:t>
      </w:r>
      <w:r w:rsidR="00DF09ED">
        <w:rPr>
          <w:rFonts w:cstheme="minorHAnsi"/>
        </w:rPr>
        <w:t>comparison</w:t>
      </w:r>
      <w:r>
        <w:rPr>
          <w:rFonts w:cstheme="minorHAnsi"/>
        </w:rPr>
        <w:t xml:space="preserve"> data, t</w:t>
      </w:r>
      <w:r w:rsidR="006A4938">
        <w:rPr>
          <w:rFonts w:cstheme="minorHAnsi"/>
        </w:rPr>
        <w:t>he working group further propose</w:t>
      </w:r>
      <w:r w:rsidR="00AA7EBD">
        <w:rPr>
          <w:rFonts w:cstheme="minorHAnsi"/>
        </w:rPr>
        <w:t>s</w:t>
      </w:r>
      <w:r w:rsidR="006A4938">
        <w:rPr>
          <w:rFonts w:cstheme="minorHAnsi"/>
        </w:rPr>
        <w:t xml:space="preserve"> to</w:t>
      </w:r>
      <w:r w:rsidR="00DF09ED">
        <w:rPr>
          <w:rFonts w:cstheme="minorHAnsi"/>
        </w:rPr>
        <w:t>:</w:t>
      </w:r>
    </w:p>
    <w:p w:rsidR="006A4938" w:rsidRPr="00AA7EBD" w:rsidRDefault="006A4938" w:rsidP="00AA7EBD">
      <w:pPr>
        <w:pStyle w:val="ListParagraph"/>
        <w:numPr>
          <w:ilvl w:val="0"/>
          <w:numId w:val="8"/>
        </w:numPr>
        <w:rPr>
          <w:rFonts w:cstheme="minorHAnsi"/>
        </w:rPr>
      </w:pPr>
      <w:r w:rsidRPr="00AA7EBD">
        <w:rPr>
          <w:rFonts w:cstheme="minorHAnsi"/>
        </w:rPr>
        <w:t>R</w:t>
      </w:r>
      <w:r w:rsidR="00AA7EBD">
        <w:rPr>
          <w:rFonts w:cstheme="minorHAnsi"/>
        </w:rPr>
        <w:t>e-examine the use of the excess</w:t>
      </w:r>
      <w:r w:rsidR="00AA7EBD">
        <w:rPr>
          <w:rFonts w:cstheme="minorHAnsi"/>
        </w:rPr>
        <w:noBreakHyphen/>
      </w:r>
      <w:r w:rsidRPr="00AA7EBD">
        <w:rPr>
          <w:rFonts w:cstheme="minorHAnsi"/>
        </w:rPr>
        <w:t xml:space="preserve">variance term in calculating </w:t>
      </w:r>
      <w:r w:rsidR="00AA7EBD">
        <w:rPr>
          <w:rFonts w:cstheme="minorHAnsi"/>
        </w:rPr>
        <w:t>DoE</w:t>
      </w:r>
      <w:r w:rsidRPr="00AA7EBD">
        <w:rPr>
          <w:rFonts w:cstheme="minorHAnsi"/>
        </w:rPr>
        <w:t xml:space="preserve"> uncertainties and to consider whether alternative calculations are appropriate, to assist interpretation o</w:t>
      </w:r>
      <w:r w:rsidR="00AA7EBD">
        <w:rPr>
          <w:rFonts w:cstheme="minorHAnsi"/>
        </w:rPr>
        <w:t>r to provide DoE uncertainties</w:t>
      </w:r>
      <w:r w:rsidR="00DF09ED">
        <w:rPr>
          <w:rFonts w:cstheme="minorHAnsi"/>
        </w:rPr>
        <w:t>;</w:t>
      </w:r>
    </w:p>
    <w:p w:rsidR="006A4938" w:rsidRPr="00AA7EBD" w:rsidRDefault="006A4938" w:rsidP="00AA7EBD">
      <w:pPr>
        <w:pStyle w:val="ListParagraph"/>
        <w:numPr>
          <w:ilvl w:val="0"/>
          <w:numId w:val="8"/>
        </w:numPr>
        <w:rPr>
          <w:rFonts w:cstheme="minorHAnsi"/>
        </w:rPr>
      </w:pPr>
      <w:r w:rsidRPr="00AA7EBD">
        <w:rPr>
          <w:rFonts w:cstheme="minorHAnsi"/>
        </w:rPr>
        <w:t xml:space="preserve">Maintain the guidance document issued as </w:t>
      </w:r>
      <w:r w:rsidR="00AA7EBD">
        <w:rPr>
          <w:rFonts w:cstheme="minorHAnsi"/>
        </w:rPr>
        <w:t>CCQM/10-03 over the longer term</w:t>
      </w:r>
      <w:r w:rsidR="00DF09ED">
        <w:rPr>
          <w:rFonts w:cstheme="minorHAnsi"/>
        </w:rPr>
        <w:t>;</w:t>
      </w:r>
    </w:p>
    <w:p w:rsidR="00B12C42" w:rsidRPr="00AA7EBD" w:rsidRDefault="00B12C42" w:rsidP="00AA7EBD">
      <w:pPr>
        <w:pStyle w:val="ListParagraph"/>
        <w:numPr>
          <w:ilvl w:val="0"/>
          <w:numId w:val="8"/>
        </w:numPr>
        <w:rPr>
          <w:rFonts w:cstheme="minorHAnsi"/>
        </w:rPr>
      </w:pPr>
      <w:r w:rsidRPr="00AA7EBD">
        <w:rPr>
          <w:rFonts w:cstheme="minorHAnsi"/>
        </w:rPr>
        <w:t>Return</w:t>
      </w:r>
      <w:r w:rsidR="00AA7EBD">
        <w:rPr>
          <w:rFonts w:cstheme="minorHAnsi"/>
        </w:rPr>
        <w:t xml:space="preserve"> to the question of the use of key c</w:t>
      </w:r>
      <w:r w:rsidRPr="00AA7EBD">
        <w:rPr>
          <w:rFonts w:cstheme="minorHAnsi"/>
        </w:rPr>
        <w:t>omparison data in the evaluation of CMC claims.</w:t>
      </w:r>
    </w:p>
    <w:p w:rsidR="00B75838" w:rsidRDefault="00B75838" w:rsidP="00280D35">
      <w:pPr>
        <w:pStyle w:val="ListParagraph"/>
        <w:ind w:left="0"/>
        <w:rPr>
          <w:rFonts w:cstheme="minorHAnsi"/>
        </w:rPr>
      </w:pPr>
    </w:p>
    <w:p w:rsidR="006A4938" w:rsidRDefault="006A4938" w:rsidP="00280D35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 xml:space="preserve">Finally, </w:t>
      </w:r>
      <w:r w:rsidR="00BC2EA7">
        <w:t xml:space="preserve">KCRV WG </w:t>
      </w:r>
      <w:r>
        <w:rPr>
          <w:rFonts w:cstheme="minorHAnsi"/>
        </w:rPr>
        <w:t xml:space="preserve">notes that </w:t>
      </w:r>
      <w:r w:rsidRPr="006A4938">
        <w:rPr>
          <w:rFonts w:cstheme="minorHAnsi"/>
        </w:rPr>
        <w:t xml:space="preserve">there remain some issues </w:t>
      </w:r>
      <w:r>
        <w:rPr>
          <w:rFonts w:cstheme="minorHAnsi"/>
        </w:rPr>
        <w:t xml:space="preserve">relating to preparation of comparisons on which </w:t>
      </w:r>
      <w:r w:rsidRPr="006A4938">
        <w:rPr>
          <w:rFonts w:cstheme="minorHAnsi"/>
        </w:rPr>
        <w:t xml:space="preserve">CCQM lacks </w:t>
      </w:r>
      <w:r>
        <w:rPr>
          <w:rFonts w:cstheme="minorHAnsi"/>
        </w:rPr>
        <w:t xml:space="preserve">published policy, </w:t>
      </w:r>
      <w:r w:rsidRPr="006A4938">
        <w:rPr>
          <w:rFonts w:cstheme="minorHAnsi"/>
        </w:rPr>
        <w:t xml:space="preserve"> particularly stability checking</w:t>
      </w:r>
      <w:r>
        <w:rPr>
          <w:rFonts w:cstheme="minorHAnsi"/>
        </w:rPr>
        <w:t xml:space="preserve"> and </w:t>
      </w:r>
      <w:r w:rsidRPr="006A4938">
        <w:rPr>
          <w:rFonts w:cstheme="minorHAnsi"/>
        </w:rPr>
        <w:t>homogeneity assurance</w:t>
      </w:r>
      <w:r>
        <w:rPr>
          <w:rFonts w:cstheme="minorHAnsi"/>
        </w:rPr>
        <w:t xml:space="preserve">. </w:t>
      </w:r>
      <w:r w:rsidR="00BC2EA7">
        <w:rPr>
          <w:rFonts w:cstheme="minorHAnsi"/>
        </w:rPr>
        <w:t xml:space="preserve"> </w:t>
      </w:r>
      <w:r w:rsidR="00052755">
        <w:t xml:space="preserve">KCRV WG </w:t>
      </w:r>
      <w:r>
        <w:rPr>
          <w:rFonts w:cstheme="minorHAnsi"/>
        </w:rPr>
        <w:t>suggest</w:t>
      </w:r>
      <w:r w:rsidR="00052755">
        <w:rPr>
          <w:rFonts w:cstheme="minorHAnsi"/>
        </w:rPr>
        <w:t>s</w:t>
      </w:r>
      <w:r>
        <w:rPr>
          <w:rFonts w:cstheme="minorHAnsi"/>
        </w:rPr>
        <w:t xml:space="preserve"> that it would</w:t>
      </w:r>
      <w:r w:rsidR="00B12C42">
        <w:rPr>
          <w:rFonts w:cstheme="minorHAnsi"/>
        </w:rPr>
        <w:t xml:space="preserve"> additionally</w:t>
      </w:r>
      <w:r>
        <w:rPr>
          <w:rFonts w:cstheme="minorHAnsi"/>
        </w:rPr>
        <w:t xml:space="preserve"> be beneficial to develop policy on these </w:t>
      </w:r>
      <w:r w:rsidR="00B12C42">
        <w:rPr>
          <w:rFonts w:cstheme="minorHAnsi"/>
        </w:rPr>
        <w:t>issues.</w:t>
      </w:r>
      <w:r>
        <w:rPr>
          <w:rFonts w:cstheme="minorHAnsi"/>
        </w:rPr>
        <w:t xml:space="preserve"> </w:t>
      </w:r>
    </w:p>
    <w:p w:rsidR="00C6088D" w:rsidRDefault="00C6088D" w:rsidP="00280D3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5001D" w:rsidRPr="00973F9D" w:rsidRDefault="00B5001D" w:rsidP="00280D35">
      <w:pPr>
        <w:pStyle w:val="Default"/>
        <w:rPr>
          <w:rFonts w:asciiTheme="minorHAnsi" w:hAnsiTheme="minorHAnsi" w:cstheme="minorHAnsi"/>
          <w:b/>
          <w:sz w:val="20"/>
          <w:szCs w:val="22"/>
        </w:rPr>
      </w:pPr>
      <w:r w:rsidRPr="00973F9D">
        <w:rPr>
          <w:rFonts w:asciiTheme="minorHAnsi" w:hAnsiTheme="minorHAnsi" w:cstheme="minorHAnsi"/>
          <w:b/>
          <w:sz w:val="20"/>
          <w:szCs w:val="22"/>
        </w:rPr>
        <w:t>References</w:t>
      </w:r>
    </w:p>
    <w:p w:rsidR="00B5001D" w:rsidRDefault="00B5001D" w:rsidP="00280D3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80D35" w:rsidRPr="00EE1E10" w:rsidRDefault="00B5001D" w:rsidP="00BC43AF">
      <w:pPr>
        <w:pStyle w:val="Default"/>
        <w:numPr>
          <w:ilvl w:val="0"/>
          <w:numId w:val="5"/>
        </w:numPr>
        <w:ind w:left="360"/>
        <w:rPr>
          <w:rFonts w:asciiTheme="minorHAnsi" w:hAnsiTheme="minorHAnsi" w:cstheme="minorHAnsi"/>
          <w:sz w:val="20"/>
          <w:szCs w:val="20"/>
        </w:rPr>
      </w:pPr>
      <w:bookmarkStart w:id="0" w:name="_Ref321837207"/>
      <w:r w:rsidRPr="00EE1E10">
        <w:rPr>
          <w:rFonts w:asciiTheme="minorHAnsi" w:hAnsiTheme="minorHAnsi" w:cstheme="minorHAnsi"/>
          <w:sz w:val="20"/>
          <w:szCs w:val="20"/>
        </w:rPr>
        <w:t xml:space="preserve">Data evaluation principles for CCQM key comparisons, CCQM </w:t>
      </w:r>
      <w:r w:rsidR="007C0D91">
        <w:rPr>
          <w:rFonts w:asciiTheme="minorHAnsi" w:hAnsiTheme="minorHAnsi" w:cstheme="minorHAnsi"/>
          <w:sz w:val="20"/>
          <w:szCs w:val="20"/>
        </w:rPr>
        <w:t>document</w:t>
      </w:r>
      <w:r w:rsidRPr="00EE1E10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Pr="00BA6705">
          <w:rPr>
            <w:rStyle w:val="Hyperlink"/>
            <w:rFonts w:asciiTheme="minorHAnsi" w:hAnsiTheme="minorHAnsi" w:cstheme="minorHAnsi"/>
            <w:sz w:val="20"/>
            <w:szCs w:val="20"/>
          </w:rPr>
          <w:t>CCQM/09-03</w:t>
        </w:r>
      </w:hyperlink>
      <w:r w:rsidRPr="00EE1E10">
        <w:rPr>
          <w:rFonts w:asciiTheme="minorHAnsi" w:hAnsiTheme="minorHAnsi" w:cstheme="minorHAnsi"/>
          <w:sz w:val="20"/>
          <w:szCs w:val="20"/>
        </w:rPr>
        <w:t>.</w:t>
      </w:r>
      <w:bookmarkEnd w:id="0"/>
      <w:r w:rsidR="00280D35" w:rsidRPr="00280D3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80D35" w:rsidRPr="00EE1E10" w:rsidRDefault="00280D35" w:rsidP="00BC43A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80D35" w:rsidRPr="00EE1E10" w:rsidRDefault="00280D35" w:rsidP="00BC43AF">
      <w:pPr>
        <w:pStyle w:val="Default"/>
        <w:numPr>
          <w:ilvl w:val="0"/>
          <w:numId w:val="5"/>
        </w:numPr>
        <w:ind w:left="360"/>
        <w:rPr>
          <w:rFonts w:asciiTheme="minorHAnsi" w:hAnsiTheme="minorHAnsi" w:cstheme="minorHAnsi"/>
          <w:sz w:val="20"/>
          <w:szCs w:val="20"/>
        </w:rPr>
      </w:pPr>
      <w:bookmarkStart w:id="1" w:name="_Ref321837408"/>
      <w:r w:rsidRPr="00EE1E10">
        <w:rPr>
          <w:rFonts w:asciiTheme="minorHAnsi" w:hAnsiTheme="minorHAnsi" w:cstheme="minorHAnsi"/>
          <w:sz w:val="20"/>
          <w:szCs w:val="20"/>
        </w:rPr>
        <w:t xml:space="preserve">Draft CCQM guidance note: Estimation of a consensus KCRV and associated degrees of equivalence (Version 6), CCQM </w:t>
      </w:r>
      <w:r>
        <w:rPr>
          <w:rFonts w:asciiTheme="minorHAnsi" w:hAnsiTheme="minorHAnsi" w:cstheme="minorHAnsi"/>
          <w:sz w:val="20"/>
          <w:szCs w:val="20"/>
        </w:rPr>
        <w:t>document</w:t>
      </w:r>
      <w:r w:rsidR="00BA6705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="00BA6705" w:rsidRPr="00BA6705">
          <w:rPr>
            <w:rStyle w:val="Hyperlink"/>
            <w:rFonts w:asciiTheme="minorHAnsi" w:hAnsiTheme="minorHAnsi" w:cstheme="minorHAnsi"/>
            <w:sz w:val="20"/>
            <w:szCs w:val="20"/>
          </w:rPr>
          <w:t>CCQM/10-03</w:t>
        </w:r>
      </w:hyperlink>
      <w:r w:rsidR="00BA6705">
        <w:rPr>
          <w:rFonts w:asciiTheme="minorHAnsi" w:hAnsiTheme="minorHAnsi" w:cstheme="minorHAnsi"/>
          <w:sz w:val="20"/>
          <w:szCs w:val="20"/>
        </w:rPr>
        <w:t xml:space="preserve"> </w:t>
      </w:r>
      <w:r w:rsidRPr="00EE1E10">
        <w:rPr>
          <w:rFonts w:asciiTheme="minorHAnsi" w:hAnsiTheme="minorHAnsi" w:cstheme="minorHAnsi"/>
          <w:sz w:val="20"/>
          <w:szCs w:val="20"/>
        </w:rPr>
        <w:t>.</w:t>
      </w:r>
      <w:bookmarkEnd w:id="1"/>
    </w:p>
    <w:p w:rsidR="00B5001D" w:rsidRPr="00EE1E10" w:rsidRDefault="00B5001D" w:rsidP="00BC43A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52B08" w:rsidRPr="00EE1E10" w:rsidRDefault="00053C0A" w:rsidP="00BC43AF">
      <w:pPr>
        <w:pStyle w:val="Default"/>
        <w:numPr>
          <w:ilvl w:val="0"/>
          <w:numId w:val="5"/>
        </w:numPr>
        <w:ind w:left="360"/>
        <w:rPr>
          <w:rFonts w:asciiTheme="minorHAnsi" w:hAnsiTheme="minorHAnsi" w:cstheme="minorHAnsi"/>
          <w:sz w:val="20"/>
          <w:szCs w:val="20"/>
        </w:rPr>
      </w:pPr>
      <w:bookmarkStart w:id="2" w:name="_Ref321837182"/>
      <w:r>
        <w:rPr>
          <w:rFonts w:asciiTheme="minorHAnsi" w:hAnsiTheme="minorHAnsi" w:cstheme="minorHAnsi"/>
          <w:sz w:val="20"/>
          <w:szCs w:val="20"/>
        </w:rPr>
        <w:t>Use of an ‘excess-variance’</w:t>
      </w:r>
      <w:r w:rsidR="00B5001D" w:rsidRPr="00EE1E10">
        <w:rPr>
          <w:rFonts w:asciiTheme="minorHAnsi" w:hAnsiTheme="minorHAnsi" w:cstheme="minorHAnsi"/>
          <w:sz w:val="20"/>
          <w:szCs w:val="20"/>
        </w:rPr>
        <w:t xml:space="preserve"> approach for the estimation of a KCRV, associated standard uncertainty and DoEs for CCQM KCs, CCQM </w:t>
      </w:r>
      <w:r w:rsidR="007C0D91">
        <w:rPr>
          <w:rFonts w:asciiTheme="minorHAnsi" w:hAnsiTheme="minorHAnsi" w:cstheme="minorHAnsi"/>
          <w:sz w:val="20"/>
          <w:szCs w:val="20"/>
        </w:rPr>
        <w:t>document</w:t>
      </w:r>
      <w:r w:rsidR="007C0D91" w:rsidRPr="00EE1E10">
        <w:rPr>
          <w:rFonts w:asciiTheme="minorHAnsi" w:hAnsiTheme="minorHAnsi" w:cstheme="minorHAnsi"/>
          <w:sz w:val="20"/>
          <w:szCs w:val="20"/>
        </w:rPr>
        <w:t xml:space="preserve"> </w:t>
      </w:r>
      <w:hyperlink r:id="rId10" w:history="1">
        <w:r w:rsidR="00B5001D" w:rsidRPr="00BA6705">
          <w:rPr>
            <w:rStyle w:val="Hyperlink"/>
            <w:rFonts w:asciiTheme="minorHAnsi" w:hAnsiTheme="minorHAnsi" w:cstheme="minorHAnsi"/>
            <w:sz w:val="20"/>
            <w:szCs w:val="20"/>
          </w:rPr>
          <w:t>CCQM/11-18</w:t>
        </w:r>
      </w:hyperlink>
      <w:r w:rsidR="00B5001D" w:rsidRPr="00EE1E10">
        <w:rPr>
          <w:rFonts w:asciiTheme="minorHAnsi" w:hAnsiTheme="minorHAnsi" w:cstheme="minorHAnsi"/>
          <w:sz w:val="20"/>
          <w:szCs w:val="20"/>
        </w:rPr>
        <w:t>.</w:t>
      </w:r>
      <w:bookmarkEnd w:id="2"/>
    </w:p>
    <w:p w:rsidR="00BA6705" w:rsidRDefault="00BA6705" w:rsidP="00280D35">
      <w:pPr>
        <w:rPr>
          <w:rFonts w:cstheme="minorHAnsi"/>
        </w:rPr>
      </w:pPr>
    </w:p>
    <w:p w:rsidR="000934E6" w:rsidRDefault="000934E6" w:rsidP="00280D35">
      <w:pPr>
        <w:rPr>
          <w:rFonts w:cstheme="minorHAnsi"/>
        </w:rPr>
      </w:pPr>
      <w:bookmarkStart w:id="3" w:name="_GoBack"/>
      <w:bookmarkEnd w:id="3"/>
    </w:p>
    <w:p w:rsidR="000934E6" w:rsidRDefault="000934E6" w:rsidP="00280D35">
      <w:pPr>
        <w:rPr>
          <w:rFonts w:cstheme="minorHAnsi"/>
        </w:rPr>
      </w:pPr>
    </w:p>
    <w:p w:rsidR="001A5688" w:rsidRPr="00F22AAC" w:rsidRDefault="001A5688" w:rsidP="00280D35">
      <w:pPr>
        <w:rPr>
          <w:rFonts w:cstheme="minorHAnsi"/>
        </w:rPr>
      </w:pPr>
      <w:r>
        <w:rPr>
          <w:rFonts w:cstheme="minorHAnsi"/>
        </w:rPr>
        <w:t>Maurice Cox (chairman</w:t>
      </w:r>
      <w:r w:rsidR="00280D35">
        <w:rPr>
          <w:rFonts w:cstheme="minorHAnsi"/>
        </w:rPr>
        <w:t>,</w:t>
      </w:r>
      <w:r>
        <w:rPr>
          <w:rFonts w:cstheme="minorHAnsi"/>
        </w:rPr>
        <w:t xml:space="preserve"> KCRV WG)</w:t>
      </w:r>
      <w:r w:rsidR="00ED00D0">
        <w:rPr>
          <w:rFonts w:cstheme="minorHAnsi"/>
        </w:rPr>
        <w:t>, NPL,</w:t>
      </w:r>
      <w:r w:rsidR="00405FE7">
        <w:rPr>
          <w:rFonts w:cstheme="minorHAnsi"/>
        </w:rPr>
        <w:t xml:space="preserve"> and Steve Ellison</w:t>
      </w:r>
      <w:r w:rsidR="00ED00D0">
        <w:rPr>
          <w:rFonts w:cstheme="minorHAnsi"/>
        </w:rPr>
        <w:t>, LGC Ltd</w:t>
      </w:r>
      <w:proofErr w:type="gramStart"/>
      <w:r w:rsidR="00ED00D0">
        <w:rPr>
          <w:rFonts w:cstheme="minorHAnsi"/>
        </w:rPr>
        <w:t>.</w:t>
      </w:r>
      <w:proofErr w:type="gramEnd"/>
      <w:r w:rsidR="00BA6705">
        <w:rPr>
          <w:rFonts w:cstheme="minorHAnsi"/>
        </w:rPr>
        <w:br/>
      </w:r>
      <w:r w:rsidR="002742BD">
        <w:rPr>
          <w:rFonts w:cstheme="minorHAnsi"/>
        </w:rPr>
        <w:t>13</w:t>
      </w:r>
      <w:r>
        <w:rPr>
          <w:rFonts w:cstheme="minorHAnsi"/>
        </w:rPr>
        <w:t xml:space="preserve"> April 2012</w:t>
      </w:r>
    </w:p>
    <w:sectPr w:rsidR="001A5688" w:rsidRPr="00F22AAC" w:rsidSect="001171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938" w:rsidRDefault="006A4938" w:rsidP="00F22AAC">
      <w:pPr>
        <w:spacing w:after="0" w:line="240" w:lineRule="auto"/>
      </w:pPr>
      <w:r>
        <w:separator/>
      </w:r>
    </w:p>
  </w:endnote>
  <w:endnote w:type="continuationSeparator" w:id="0">
    <w:p w:rsidR="006A4938" w:rsidRDefault="006A4938" w:rsidP="00F2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38" w:rsidRDefault="006A4938" w:rsidP="00F22AAC">
    <w:pPr>
      <w:pStyle w:val="Footer"/>
      <w:jc w:val="center"/>
    </w:pPr>
    <w:r>
      <w:fldChar w:fldCharType="begin"/>
    </w:r>
    <w:r w:rsidRPr="00F22AAC">
      <w:rPr>
        <w:rFonts w:ascii="Arial" w:hAnsi="Arial" w:cs="Arial"/>
        <w:color w:val="7F7F7F"/>
        <w:sz w:val="20"/>
      </w:rPr>
      <w:instrText xml:space="preserve"> DOCPROPERTY "aliashDocumentMarking" \* MERGEFORMAT </w:instrText>
    </w:r>
    <w:r>
      <w:fldChar w:fldCharType="separate"/>
    </w:r>
    <w:r w:rsidR="00B22DB2">
      <w:rPr>
        <w:rFonts w:ascii="Arial" w:hAnsi="Arial" w:cs="Arial"/>
        <w:color w:val="7F7F7F"/>
        <w:sz w:val="20"/>
      </w:rPr>
      <w:t>NPL Management Ltd - Commercial</w:t>
    </w:r>
    <w:r>
      <w:fldChar w:fldCharType="end"/>
    </w:r>
  </w:p>
  <w:p w:rsidR="006A4938" w:rsidRDefault="006A4938" w:rsidP="00B5001D">
    <w:pPr>
      <w:pStyle w:val="Footer"/>
      <w:jc w:val="center"/>
    </w:pPr>
    <w:r>
      <w:fldChar w:fldCharType="begin"/>
    </w:r>
    <w:r w:rsidRPr="00B5001D">
      <w:rPr>
        <w:rFonts w:ascii="Arial" w:hAnsi="Arial" w:cs="Arial"/>
        <w:color w:val="7F7F7F"/>
        <w:sz w:val="20"/>
      </w:rPr>
      <w:instrText xml:space="preserve"> DOCPROPERTY "aliashDocumentMarking" \* MERGEFORMAT </w:instrText>
    </w:r>
    <w:r>
      <w:fldChar w:fldCharType="separate"/>
    </w:r>
    <w:r w:rsidR="00B22DB2">
      <w:rPr>
        <w:rFonts w:ascii="Arial" w:hAnsi="Arial" w:cs="Arial"/>
        <w:color w:val="7F7F7F"/>
        <w:sz w:val="20"/>
      </w:rPr>
      <w:t>NPL Management Ltd - Commercial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9350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4938" w:rsidRDefault="00D269EC">
        <w:pPr>
          <w:pStyle w:val="Footer"/>
          <w:jc w:val="center"/>
        </w:pPr>
        <w:r>
          <w:fldChar w:fldCharType="begin"/>
        </w:r>
        <w:r>
          <w:instrText xml:space="preserve"> PAGE   </w:instrText>
        </w:r>
        <w:r>
          <w:instrText xml:space="preserve">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4938" w:rsidRDefault="006A4938" w:rsidP="00F22AAC">
    <w:pPr>
      <w:pStyle w:val="Footer"/>
      <w:jc w:val="center"/>
    </w:pPr>
  </w:p>
  <w:p w:rsidR="006A4938" w:rsidRDefault="006A4938" w:rsidP="00B5001D">
    <w:pPr>
      <w:pStyle w:val="Footer"/>
      <w:jc w:val="center"/>
    </w:pPr>
    <w:r>
      <w:fldChar w:fldCharType="begin"/>
    </w:r>
    <w:r w:rsidRPr="00B5001D">
      <w:rPr>
        <w:rFonts w:ascii="Arial" w:hAnsi="Arial" w:cs="Arial"/>
        <w:color w:val="7F7F7F"/>
        <w:sz w:val="20"/>
      </w:rPr>
      <w:instrText xml:space="preserve"> DOCPROPERTY "aliashDocumentMarking" \* MERGEFORMAT </w:instrText>
    </w:r>
    <w:r>
      <w:fldChar w:fldCharType="separate"/>
    </w:r>
    <w:r w:rsidR="00B22DB2">
      <w:rPr>
        <w:rFonts w:ascii="Arial" w:hAnsi="Arial" w:cs="Arial"/>
        <w:color w:val="7F7F7F"/>
        <w:sz w:val="20"/>
      </w:rPr>
      <w:t>NPL Management Ltd - Commercial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38" w:rsidRDefault="006A4938" w:rsidP="00F22AAC">
    <w:pPr>
      <w:pStyle w:val="Footer"/>
      <w:jc w:val="center"/>
    </w:pPr>
    <w:r>
      <w:fldChar w:fldCharType="begin"/>
    </w:r>
    <w:r w:rsidRPr="00F22AAC">
      <w:rPr>
        <w:rFonts w:ascii="Arial" w:hAnsi="Arial" w:cs="Arial"/>
        <w:color w:val="7F7F7F"/>
        <w:sz w:val="20"/>
      </w:rPr>
      <w:instrText xml:space="preserve"> DOCPROPERTY "aliashDocumentMarking" \* MERGEFORMAT </w:instrText>
    </w:r>
    <w:r>
      <w:fldChar w:fldCharType="separate"/>
    </w:r>
    <w:r w:rsidR="00B22DB2">
      <w:rPr>
        <w:rFonts w:ascii="Arial" w:hAnsi="Arial" w:cs="Arial"/>
        <w:color w:val="7F7F7F"/>
        <w:sz w:val="20"/>
      </w:rPr>
      <w:t>NPL Management Ltd - Commercial</w:t>
    </w:r>
    <w:r>
      <w:fldChar w:fldCharType="end"/>
    </w:r>
  </w:p>
  <w:p w:rsidR="006A4938" w:rsidRDefault="006A4938" w:rsidP="00B5001D">
    <w:pPr>
      <w:pStyle w:val="Footer"/>
      <w:jc w:val="center"/>
    </w:pPr>
    <w:r>
      <w:fldChar w:fldCharType="begin"/>
    </w:r>
    <w:r w:rsidRPr="00B5001D">
      <w:rPr>
        <w:rFonts w:ascii="Arial" w:hAnsi="Arial" w:cs="Arial"/>
        <w:color w:val="7F7F7F"/>
        <w:sz w:val="20"/>
      </w:rPr>
      <w:instrText xml:space="preserve"> DOCPROPERTY "aliashDocumentMarking" \* MERGEFORMAT </w:instrText>
    </w:r>
    <w:r>
      <w:fldChar w:fldCharType="separate"/>
    </w:r>
    <w:r w:rsidR="00B22DB2">
      <w:rPr>
        <w:rFonts w:ascii="Arial" w:hAnsi="Arial" w:cs="Arial"/>
        <w:color w:val="7F7F7F"/>
        <w:sz w:val="20"/>
      </w:rPr>
      <w:t>NPL Management Ltd - Commercial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938" w:rsidRDefault="006A4938" w:rsidP="00F22AAC">
      <w:pPr>
        <w:spacing w:after="0" w:line="240" w:lineRule="auto"/>
      </w:pPr>
      <w:r>
        <w:separator/>
      </w:r>
    </w:p>
  </w:footnote>
  <w:footnote w:type="continuationSeparator" w:id="0">
    <w:p w:rsidR="006A4938" w:rsidRDefault="006A4938" w:rsidP="00F22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38" w:rsidRDefault="006A49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38" w:rsidRDefault="006A49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38" w:rsidRDefault="006A49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36BE"/>
    <w:multiLevelType w:val="hybridMultilevel"/>
    <w:tmpl w:val="C4905184"/>
    <w:lvl w:ilvl="0" w:tplc="6292F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A2B7B"/>
    <w:multiLevelType w:val="hybridMultilevel"/>
    <w:tmpl w:val="B582B01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C5178"/>
    <w:multiLevelType w:val="hybridMultilevel"/>
    <w:tmpl w:val="5354529E"/>
    <w:lvl w:ilvl="0" w:tplc="BFA23674">
      <w:start w:val="1"/>
      <w:numFmt w:val="decimal"/>
      <w:lvlText w:val="NOTE %1"/>
      <w:lvlJc w:val="right"/>
      <w:pPr>
        <w:ind w:left="8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">
    <w:nsid w:val="45B73F4C"/>
    <w:multiLevelType w:val="hybridMultilevel"/>
    <w:tmpl w:val="03621AF2"/>
    <w:lvl w:ilvl="0" w:tplc="F93610E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01F82"/>
    <w:multiLevelType w:val="hybridMultilevel"/>
    <w:tmpl w:val="09148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F2C87"/>
    <w:multiLevelType w:val="hybridMultilevel"/>
    <w:tmpl w:val="FB163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241D2"/>
    <w:multiLevelType w:val="hybridMultilevel"/>
    <w:tmpl w:val="47469756"/>
    <w:lvl w:ilvl="0" w:tplc="10D8A39C">
      <w:start w:val="1"/>
      <w:numFmt w:val="lowerRoman"/>
      <w:lvlText w:val="%1)"/>
      <w:lvlJc w:val="left"/>
      <w:pPr>
        <w:ind w:left="1080" w:hanging="72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666B5"/>
    <w:multiLevelType w:val="hybridMultilevel"/>
    <w:tmpl w:val="FD14AB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9B399C"/>
    <w:multiLevelType w:val="hybridMultilevel"/>
    <w:tmpl w:val="C8C02B90"/>
    <w:lvl w:ilvl="0" w:tplc="89D05A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AC"/>
    <w:rsid w:val="00006EBA"/>
    <w:rsid w:val="00020474"/>
    <w:rsid w:val="00021011"/>
    <w:rsid w:val="00030CC8"/>
    <w:rsid w:val="00041BFC"/>
    <w:rsid w:val="00041CF1"/>
    <w:rsid w:val="00052755"/>
    <w:rsid w:val="00053C0A"/>
    <w:rsid w:val="000934E6"/>
    <w:rsid w:val="000D25EB"/>
    <w:rsid w:val="000F3804"/>
    <w:rsid w:val="00101C47"/>
    <w:rsid w:val="00111AA4"/>
    <w:rsid w:val="00117172"/>
    <w:rsid w:val="00134AA4"/>
    <w:rsid w:val="00137255"/>
    <w:rsid w:val="00145C65"/>
    <w:rsid w:val="0016705D"/>
    <w:rsid w:val="00197401"/>
    <w:rsid w:val="001A5688"/>
    <w:rsid w:val="001C0DAD"/>
    <w:rsid w:val="001C53BE"/>
    <w:rsid w:val="00203ECA"/>
    <w:rsid w:val="002742BD"/>
    <w:rsid w:val="00280D35"/>
    <w:rsid w:val="002B72D8"/>
    <w:rsid w:val="002B7597"/>
    <w:rsid w:val="00351E20"/>
    <w:rsid w:val="003A09D1"/>
    <w:rsid w:val="003E4533"/>
    <w:rsid w:val="00404C72"/>
    <w:rsid w:val="00405FE7"/>
    <w:rsid w:val="0046143E"/>
    <w:rsid w:val="00477FE6"/>
    <w:rsid w:val="004A0DE8"/>
    <w:rsid w:val="004A4584"/>
    <w:rsid w:val="004F10B9"/>
    <w:rsid w:val="00511F95"/>
    <w:rsid w:val="005333EC"/>
    <w:rsid w:val="00576AF6"/>
    <w:rsid w:val="00596E53"/>
    <w:rsid w:val="005E563A"/>
    <w:rsid w:val="00612CCF"/>
    <w:rsid w:val="006216A8"/>
    <w:rsid w:val="006379CD"/>
    <w:rsid w:val="00652A8A"/>
    <w:rsid w:val="00674697"/>
    <w:rsid w:val="00694DD4"/>
    <w:rsid w:val="006A4938"/>
    <w:rsid w:val="006C6C74"/>
    <w:rsid w:val="00750704"/>
    <w:rsid w:val="007652AB"/>
    <w:rsid w:val="007700EA"/>
    <w:rsid w:val="007779F5"/>
    <w:rsid w:val="007A1DEA"/>
    <w:rsid w:val="007B400B"/>
    <w:rsid w:val="007C0D91"/>
    <w:rsid w:val="007D5226"/>
    <w:rsid w:val="008223F4"/>
    <w:rsid w:val="008238F6"/>
    <w:rsid w:val="00841C84"/>
    <w:rsid w:val="00852269"/>
    <w:rsid w:val="00867876"/>
    <w:rsid w:val="008762D0"/>
    <w:rsid w:val="00897814"/>
    <w:rsid w:val="008B75E9"/>
    <w:rsid w:val="008D0B7C"/>
    <w:rsid w:val="00907326"/>
    <w:rsid w:val="00925CCC"/>
    <w:rsid w:val="00930ADA"/>
    <w:rsid w:val="009674D2"/>
    <w:rsid w:val="00973F9D"/>
    <w:rsid w:val="009846AE"/>
    <w:rsid w:val="009A4756"/>
    <w:rsid w:val="009B2072"/>
    <w:rsid w:val="009D1EDB"/>
    <w:rsid w:val="009E53F9"/>
    <w:rsid w:val="00A05886"/>
    <w:rsid w:val="00A30D11"/>
    <w:rsid w:val="00A907C1"/>
    <w:rsid w:val="00AA7EBD"/>
    <w:rsid w:val="00AF7DB9"/>
    <w:rsid w:val="00B12C42"/>
    <w:rsid w:val="00B22DB2"/>
    <w:rsid w:val="00B25BC0"/>
    <w:rsid w:val="00B5001D"/>
    <w:rsid w:val="00B75838"/>
    <w:rsid w:val="00B9344A"/>
    <w:rsid w:val="00BA6705"/>
    <w:rsid w:val="00BB437B"/>
    <w:rsid w:val="00BC2EA7"/>
    <w:rsid w:val="00BC43AF"/>
    <w:rsid w:val="00BE4A4A"/>
    <w:rsid w:val="00BF79A6"/>
    <w:rsid w:val="00C14B04"/>
    <w:rsid w:val="00C1542E"/>
    <w:rsid w:val="00C52B08"/>
    <w:rsid w:val="00C6088D"/>
    <w:rsid w:val="00CC1342"/>
    <w:rsid w:val="00D269EC"/>
    <w:rsid w:val="00D32543"/>
    <w:rsid w:val="00DA0C6B"/>
    <w:rsid w:val="00DD432D"/>
    <w:rsid w:val="00DE40D1"/>
    <w:rsid w:val="00DF09ED"/>
    <w:rsid w:val="00E1426C"/>
    <w:rsid w:val="00E44750"/>
    <w:rsid w:val="00EB1F53"/>
    <w:rsid w:val="00ED00D0"/>
    <w:rsid w:val="00ED7BA1"/>
    <w:rsid w:val="00EE1E10"/>
    <w:rsid w:val="00F105B3"/>
    <w:rsid w:val="00F22AAC"/>
    <w:rsid w:val="00F244B8"/>
    <w:rsid w:val="00F55CD4"/>
    <w:rsid w:val="00F62952"/>
    <w:rsid w:val="00F66BB1"/>
    <w:rsid w:val="00FA6367"/>
    <w:rsid w:val="00FB1E18"/>
    <w:rsid w:val="00FC5815"/>
    <w:rsid w:val="00FC684E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AAC"/>
    <w:pPr>
      <w:ind w:left="720"/>
      <w:contextualSpacing/>
    </w:pPr>
  </w:style>
  <w:style w:type="paragraph" w:customStyle="1" w:styleId="Default">
    <w:name w:val="Default"/>
    <w:rsid w:val="00F22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2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AAC"/>
  </w:style>
  <w:style w:type="paragraph" w:styleId="Footer">
    <w:name w:val="footer"/>
    <w:basedOn w:val="Normal"/>
    <w:link w:val="FooterChar"/>
    <w:uiPriority w:val="99"/>
    <w:unhideWhenUsed/>
    <w:rsid w:val="00F22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AAC"/>
  </w:style>
  <w:style w:type="character" w:styleId="Hyperlink">
    <w:name w:val="Hyperlink"/>
    <w:basedOn w:val="DefaultParagraphFont"/>
    <w:uiPriority w:val="99"/>
    <w:unhideWhenUsed/>
    <w:rsid w:val="00BA67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67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AAC"/>
    <w:pPr>
      <w:ind w:left="720"/>
      <w:contextualSpacing/>
    </w:pPr>
  </w:style>
  <w:style w:type="paragraph" w:customStyle="1" w:styleId="Default">
    <w:name w:val="Default"/>
    <w:rsid w:val="00F22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2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AAC"/>
  </w:style>
  <w:style w:type="paragraph" w:styleId="Footer">
    <w:name w:val="footer"/>
    <w:basedOn w:val="Normal"/>
    <w:link w:val="FooterChar"/>
    <w:uiPriority w:val="99"/>
    <w:unhideWhenUsed/>
    <w:rsid w:val="00F22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AAC"/>
  </w:style>
  <w:style w:type="character" w:styleId="Hyperlink">
    <w:name w:val="Hyperlink"/>
    <w:basedOn w:val="DefaultParagraphFont"/>
    <w:uiPriority w:val="99"/>
    <w:unhideWhenUsed/>
    <w:rsid w:val="00BA67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67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m.org/cc/CCQM/Restricted/15/CCQM09_03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ipm.org/cc/CCQM/Restricted/17/CCQM11-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m.org/cc/CCQM/Restricted/16/CCQM10_03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NPL Management Ltd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Maurice Cox</dc:creator>
  <cp:lastModifiedBy>Maurice Cox</cp:lastModifiedBy>
  <cp:revision>30</cp:revision>
  <cp:lastPrinted>2012-04-13T07:33:00Z</cp:lastPrinted>
  <dcterms:created xsi:type="dcterms:W3CDTF">2012-04-13T06:35:00Z</dcterms:created>
  <dcterms:modified xsi:type="dcterms:W3CDTF">2012-04-13T07:48:00Z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coClassification">
    <vt:lpwstr>NPL Commercial</vt:lpwstr>
  </property>
  <property fmtid="{D5CDD505-2E9C-101B-9397-08002B2CF9AE}" pid="3" name="aliashDocumentMarking">
    <vt:lpwstr>NPL Management Ltd - Commercial</vt:lpwstr>
  </property>
</Properties>
</file>